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18</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406702</w:t>
      </w:r>
    </w:p>
    <w:p>
      <w:pPr>
        <w:tabs>
          <w:tab w:val="center" w:pos="4536"/>
          <w:tab w:val="right" w:pos="8280"/>
          <w:tab w:val="right" w:pos="9639"/>
        </w:tabs>
        <w:ind w:right="2"/>
        <w:rPr>
          <w:rFonts w:hint="eastAsia" w:ascii="Arial" w:hAnsi="Arial" w:eastAsia="宋体" w:cs="Arial"/>
          <w:b/>
          <w:bCs/>
          <w:sz w:val="28"/>
          <w:lang w:val="en-US" w:eastAsia="zh-CN"/>
        </w:rPr>
      </w:pPr>
      <w:bookmarkStart w:id="0" w:name="OLE_LINK7"/>
      <w:bookmarkStart w:id="1" w:name="OLE_LINK8"/>
      <w:r>
        <w:rPr>
          <w:rFonts w:hint="eastAsia" w:ascii="Arial" w:hAnsi="Arial" w:eastAsia="宋体" w:cs="Arial"/>
          <w:b/>
          <w:bCs/>
          <w:sz w:val="28"/>
          <w:szCs w:val="28"/>
          <w:lang w:val="en-US" w:eastAsia="zh-CN"/>
        </w:rPr>
        <w:t>Maastricht</w:t>
      </w:r>
      <w:bookmarkEnd w:id="0"/>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lang w:val="en-US" w:eastAsia="zh-CN"/>
        </w:rPr>
        <w:t>NL, August</w:t>
      </w:r>
      <w:r>
        <w:rPr>
          <w:rFonts w:ascii="Arial" w:hAnsi="Arial" w:eastAsia="MS Mincho" w:cs="Arial"/>
          <w:b/>
          <w:bCs/>
          <w:sz w:val="28"/>
          <w:lang w:eastAsia="ja-JP"/>
        </w:rPr>
        <w:t xml:space="preserve"> </w:t>
      </w:r>
      <w:r>
        <w:rPr>
          <w:rFonts w:hint="eastAsia" w:ascii="Arial" w:hAnsi="Arial" w:eastAsia="宋体" w:cs="Arial"/>
          <w:b/>
          <w:bCs/>
          <w:sz w:val="28"/>
          <w:lang w:val="en-US" w:eastAsia="zh-CN"/>
        </w:rPr>
        <w:t>19</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23</w:t>
      </w:r>
      <w:r>
        <w:rPr>
          <w:rFonts w:hint="eastAsia" w:ascii="Arial" w:hAnsi="Arial" w:cs="Arial"/>
          <w:b/>
          <w:bCs/>
          <w:sz w:val="28"/>
          <w:vertAlign w:val="superscript"/>
          <w:lang w:val="en-US" w:eastAsia="zh-CN"/>
        </w:rPr>
        <w:t>rd</w:t>
      </w:r>
      <w:r>
        <w:rPr>
          <w:rFonts w:ascii="Arial" w:hAnsi="Arial" w:eastAsia="MS Mincho" w:cs="Arial"/>
          <w:b/>
          <w:bCs/>
          <w:sz w:val="28"/>
          <w:lang w:eastAsia="ja-JP"/>
        </w:rPr>
        <w:t>, 202</w:t>
      </w:r>
      <w:r>
        <w:rPr>
          <w:rFonts w:hint="eastAsia" w:ascii="Arial" w:hAnsi="Arial" w:eastAsia="宋体" w:cs="Arial"/>
          <w:b/>
          <w:bCs/>
          <w:sz w:val="28"/>
          <w:lang w:val="en-US" w:eastAsia="zh-CN"/>
        </w:rPr>
        <w:t>4</w:t>
      </w:r>
      <w:bookmarkEnd w:id="1"/>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2"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2"/>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3"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4" w:name="_Hlk153407590"/>
            <w:r>
              <w:rPr>
                <w:rFonts w:hint="eastAsia" w:eastAsia="Malgun Gothic"/>
                <w:lang w:val="en-US" w:eastAsia="ko-KR"/>
              </w:rPr>
              <w:t>Specify UE transmission, reception and measurement behavior and procedures in SBFD symbols and/or non-SBFD symbols for SBFD aware UE [RAN1, RAN2]</w:t>
            </w:r>
          </w:p>
          <w:bookmarkEnd w:id="4"/>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5" w:name="OLE_LINK10"/>
      <w:bookmarkStart w:id="6" w:name="OLE_LINK1"/>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5"/>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bookmarkEnd w:id="6"/>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RAN1#116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bCs/>
                <w:sz w:val="22"/>
                <w:szCs w:val="22"/>
                <w:highlight w:val="green"/>
                <w:lang w:val="en-GB" w:eastAsia="zh-CN"/>
              </w:rPr>
            </w:pPr>
            <w:r>
              <w:rPr>
                <w:rFonts w:hint="eastAsia" w:ascii="Times New Roman" w:hAnsi="Times New Roman" w:eastAsia="Malgun Gothic" w:cs="Times New Roman"/>
                <w:bCs/>
                <w:sz w:val="22"/>
                <w:szCs w:val="2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Malgun Gothic" w:cs="Times New Roman"/>
                <w:sz w:val="22"/>
                <w:szCs w:val="22"/>
                <w:lang w:val="en-GB" w:eastAsia="zh-CN"/>
              </w:rPr>
            </w:pPr>
            <w:r>
              <w:rPr>
                <w:rFonts w:hint="eastAsia" w:ascii="Times New Roman" w:hAnsi="Times New Roman" w:eastAsia="Malgun Gothic" w:cs="Times New Roman"/>
                <w:sz w:val="22"/>
                <w:szCs w:val="22"/>
                <w:lang w:val="en-GB" w:eastAsia="zh-CN"/>
              </w:rPr>
              <w:t xml:space="preserve">For RRC connected mode UEs, at least cell-specific configuration on time </w:t>
            </w:r>
            <w:r>
              <w:rPr>
                <w:rFonts w:hint="eastAsia" w:ascii="Times New Roman" w:hAnsi="Times New Roman" w:eastAsia="Malgun Gothic" w:cs="Times New Roman"/>
                <w:sz w:val="22"/>
                <w:szCs w:val="22"/>
                <w:highlight w:val="darkYellow"/>
                <w:lang w:val="en-GB" w:eastAsia="zh-CN"/>
              </w:rPr>
              <w:t xml:space="preserve">and frequency(working assumption) </w:t>
            </w:r>
            <w:r>
              <w:rPr>
                <w:rFonts w:hint="eastAsia" w:ascii="Times New Roman" w:hAnsi="Times New Roman" w:eastAsia="Malgun Gothic" w:cs="Times New Roman"/>
                <w:sz w:val="22"/>
                <w:szCs w:val="22"/>
                <w:lang w:val="en-GB" w:eastAsia="zh-CN"/>
              </w:rPr>
              <w:t>location of SBFD subbands is supported within a TDD carrier.</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b w:val="0"/>
                <w:bCs/>
                <w:i w:val="0"/>
                <w:iCs/>
                <w:strike w:val="0"/>
                <w:dstrike w:val="0"/>
                <w:szCs w:val="20"/>
                <w:vertAlign w:val="baseline"/>
                <w:lang w:val="en-US" w:eastAsia="zh-CN"/>
              </w:rPr>
            </w:pPr>
            <w:r>
              <w:rPr>
                <w:rFonts w:hint="eastAsia" w:ascii="Times New Roman" w:hAnsi="Times New Roman" w:eastAsia="宋体" w:cs="Times New Roman"/>
                <w:sz w:val="22"/>
                <w:szCs w:val="22"/>
                <w:lang w:val="en-GB" w:eastAsia="ja-JP" w:bidi="ar-SA"/>
              </w:rPr>
              <w:t>FFS: Additional support of UE-specific configuration on time and/or frequency locations of SBFD subbands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From the gNB</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s perspective, a portion of the frequency resources within the TDD carrier can be allocated for UL transmission, known as SBFD operations. This part of the frequency resource can be considered as a sub-pool of the overall frequency resource pool of the TDD carrier. In this regard, the UL subband is shared by all SBFD aware UEs and can be configured at the cell level. In addition, the configuration signaling is straightforward, since the frequency location of the UL/DL subbands is determined with reference to the CRB grid. For a BWP pair configured for the TDD cell, the UL subband for the actual application can be derived from the UL/DL BWP of the BWP pair and the frequency positions of the UL subbands configured for the TDD cell.</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Alternatively, it is also possible to configure the UL subband at the BWP level, as long as the gNB is able to manage UL the configurations related to the UL subband based on the planned sub-pool of UL resources for the TDD carrier. Since the UE typically operates in an active BWP pair, it is simpler and more straightforward for the UE to apply the subband division within the active BWP pair, with the UL subband naturally confined within the BWP pair. Additionally, configuring the UL subband at the BWP level can better align with other signaling configurations within the same BWP pair, such as achieving separate configurations of channels/signals for SBFD symbols and non-SBFD symbols.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In summary, there are different advantages to configure subbands at either the cell level or the BWP level. However, it is slightly preferred to configure subbands at the cell level. Nevertheless, it is preferable for the subbands to be configured using cell-specific RRC signaling, since the subband configuration is common for all the SBFD aware UE.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1：The cell-specific configuration on time and frequency location of SBFD subbands should be carried in SIB.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p>
    <w:p>
      <w:pPr>
        <w:rPr>
          <w:rFonts w:hint="eastAsia" w:cs="Times New Roman"/>
          <w:sz w:val="22"/>
          <w:szCs w:val="22"/>
          <w:lang w:val="en-US" w:eastAsia="zh-CN" w:bidi="ar-SA"/>
        </w:rPr>
      </w:pPr>
      <w:r>
        <w:rPr>
          <w:rFonts w:hint="eastAsia"/>
          <w:b w:val="0"/>
          <w:bCs/>
          <w:i w:val="0"/>
          <w:iCs/>
          <w:strike w:val="0"/>
          <w:dstrike w:val="0"/>
          <w:szCs w:val="20"/>
          <w:lang w:val="en-US" w:eastAsia="zh-CN"/>
        </w:rPr>
        <w:t>Regarding the indication of frequency location of the SBFD subbands, whether to support UE-</w:t>
      </w:r>
      <w:r>
        <w:rPr>
          <w:rFonts w:hint="eastAsia" w:ascii="Times New Roman" w:hAnsi="Times New Roman" w:eastAsia="宋体" w:cs="Times New Roman"/>
          <w:sz w:val="22"/>
          <w:szCs w:val="22"/>
          <w:lang w:val="en-GB" w:eastAsia="ja-JP" w:bidi="ar-SA"/>
        </w:rPr>
        <w:t xml:space="preserve">specific configuration </w:t>
      </w:r>
      <w:r>
        <w:rPr>
          <w:rFonts w:hint="eastAsia" w:cs="Times New Roman"/>
          <w:sz w:val="22"/>
          <w:szCs w:val="22"/>
          <w:lang w:val="en-US" w:eastAsia="zh-CN" w:bidi="ar-SA"/>
        </w:rPr>
        <w:t>for the</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was still under discussion at the last meeting. T</w:t>
      </w:r>
      <w:r>
        <w:rPr>
          <w:rFonts w:hint="eastAsia"/>
          <w:b w:val="0"/>
          <w:bCs/>
          <w:i w:val="0"/>
          <w:iCs/>
          <w:strike w:val="0"/>
          <w:dstrike w:val="0"/>
          <w:szCs w:val="20"/>
          <w:lang w:val="en-US" w:eastAsia="zh-CN"/>
        </w:rPr>
        <w:t xml:space="preserve">he main intention of introducing </w:t>
      </w:r>
      <w:r>
        <w:rPr>
          <w:rFonts w:hint="eastAsia" w:ascii="Times New Roman" w:hAnsi="Times New Roman" w:eastAsia="宋体" w:cs="Times New Roman"/>
          <w:sz w:val="22"/>
          <w:szCs w:val="22"/>
          <w:lang w:val="en-GB" w:eastAsia="ja-JP" w:bidi="ar-SA"/>
        </w:rPr>
        <w:t xml:space="preserve">UE-specific configuration </w:t>
      </w:r>
      <w:r>
        <w:rPr>
          <w:rFonts w:hint="eastAsia" w:cs="Times New Roman"/>
          <w:sz w:val="22"/>
          <w:szCs w:val="22"/>
          <w:lang w:val="en-US" w:eastAsia="zh-CN" w:bidi="ar-SA"/>
        </w:rPr>
        <w:t>for</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is to configure different guard bands for different UEs </w:t>
      </w:r>
      <w:r>
        <w:rPr>
          <w:rFonts w:eastAsiaTheme="minorEastAsia"/>
          <w:lang w:val="en-GB" w:eastAsia="zh-CN"/>
        </w:rPr>
        <w:t>due to different UE capabilities and/or UE-</w:t>
      </w:r>
      <w:r>
        <w:rPr>
          <w:rFonts w:hint="eastAsia" w:eastAsiaTheme="minorEastAsia"/>
          <w:lang w:val="en-US" w:eastAsia="zh-CN"/>
        </w:rPr>
        <w:t>to-</w:t>
      </w:r>
      <w:r>
        <w:rPr>
          <w:rFonts w:eastAsiaTheme="minorEastAsia"/>
          <w:lang w:val="en-GB" w:eastAsia="zh-CN"/>
        </w:rPr>
        <w:t>UE CLI levels</w:t>
      </w:r>
      <w:r>
        <w:rPr>
          <w:rFonts w:hint="eastAsia" w:cs="Times New Roman"/>
          <w:sz w:val="22"/>
          <w:szCs w:val="22"/>
          <w:lang w:val="en-US" w:eastAsia="zh-CN" w:bidi="ar-SA"/>
        </w:rPr>
        <w:t xml:space="preserve">. However, </w:t>
      </w:r>
      <w:r>
        <w:t xml:space="preserve">the main </w:t>
      </w:r>
      <w:r>
        <w:rPr>
          <w:rFonts w:hint="eastAsia"/>
          <w:lang w:val="en-US" w:eastAsia="zh-CN"/>
        </w:rPr>
        <w:t>purpose</w:t>
      </w:r>
      <w:r>
        <w:t xml:space="preserve"> of</w:t>
      </w:r>
      <w:r>
        <w:rPr>
          <w:rFonts w:hint="eastAsia"/>
          <w:lang w:val="en-US" w:eastAsia="zh-CN"/>
        </w:rPr>
        <w:t xml:space="preserve"> the</w:t>
      </w:r>
      <w:r>
        <w:t xml:space="preserve"> guard band(s) is to provide frequency isolation at the gNB. </w:t>
      </w:r>
      <w:r>
        <w:rPr>
          <w:rFonts w:hint="eastAsia"/>
          <w:lang w:val="en-US" w:eastAsia="zh-CN"/>
        </w:rPr>
        <w:t>The gNB can configure an appropriate guard bands for all SBFD aware UEs by implementation</w:t>
      </w:r>
      <w:r>
        <w:t xml:space="preserve">. Furthermore, if the intention is to </w:t>
      </w:r>
      <w:r>
        <w:rPr>
          <w:rFonts w:hint="eastAsia"/>
          <w:lang w:val="en-US" w:eastAsia="zh-CN"/>
        </w:rPr>
        <w:t>provide</w:t>
      </w:r>
      <w:r>
        <w:t xml:space="preserve"> different </w:t>
      </w:r>
      <w:r>
        <w:rPr>
          <w:rFonts w:hint="eastAsia"/>
          <w:lang w:val="en-US" w:eastAsia="zh-CN"/>
        </w:rPr>
        <w:t>available</w:t>
      </w:r>
      <w:r>
        <w:t xml:space="preserve"> resources </w:t>
      </w:r>
      <w:r>
        <w:rPr>
          <w:rFonts w:hint="eastAsia"/>
          <w:lang w:val="en-US" w:eastAsia="zh-CN"/>
        </w:rPr>
        <w:t>to</w:t>
      </w:r>
      <w:r>
        <w:t xml:space="preserve"> different UEs, it can be achieved by </w:t>
      </w:r>
      <w:r>
        <w:rPr>
          <w:rFonts w:hint="eastAsia"/>
          <w:lang w:val="en-US" w:eastAsia="zh-CN"/>
        </w:rPr>
        <w:t xml:space="preserve">the gNB transparently </w:t>
      </w:r>
      <w:r>
        <w:t xml:space="preserve">not scheduling </w:t>
      </w:r>
      <w:r>
        <w:rPr>
          <w:rFonts w:hint="eastAsia"/>
          <w:lang w:val="en-US" w:eastAsia="zh-CN"/>
        </w:rPr>
        <w:t>certain</w:t>
      </w:r>
      <w:r>
        <w:t xml:space="preserve"> RBs.</w:t>
      </w:r>
      <w:r>
        <w:rPr>
          <w:rFonts w:hint="eastAsia"/>
          <w:lang w:val="en-US" w:eastAsia="zh-CN"/>
        </w:rPr>
        <w:t xml:space="preserve"> Therefore, </w:t>
      </w:r>
      <w:r>
        <w:rPr>
          <w:rFonts w:hint="eastAsia" w:ascii="Times New Roman" w:hAnsi="Times New Roman" w:eastAsia="宋体" w:cs="Times New Roman"/>
          <w:sz w:val="22"/>
          <w:szCs w:val="22"/>
          <w:lang w:val="en-GB" w:eastAsia="ja-JP" w:bidi="ar-SA"/>
        </w:rPr>
        <w:t>UE-specific configuration on frequency locations of SBFD subbands</w:t>
      </w:r>
      <w:r>
        <w:rPr>
          <w:rFonts w:hint="eastAsia" w:cs="Times New Roman"/>
          <w:sz w:val="22"/>
          <w:szCs w:val="22"/>
          <w:lang w:val="en-US" w:eastAsia="zh-CN" w:bidi="ar-SA"/>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Tx/Rx/measurement procedure</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Enhancement on resource allocation in frequency domain in SBFD symbols</w:t>
      </w:r>
    </w:p>
    <w:p>
      <w:pPr>
        <w:pStyle w:val="55"/>
        <w:numPr>
          <w:ilvl w:val="0"/>
          <w:numId w:val="10"/>
        </w:numPr>
        <w:spacing w:before="0" w:beforeLines="0" w:after="120" w:line="240" w:lineRule="auto"/>
        <w:ind w:firstLineChars="0"/>
        <w:rPr>
          <w:b/>
        </w:rPr>
      </w:pPr>
      <w:r>
        <w:rPr>
          <w:b/>
        </w:rPr>
        <w:t xml:space="preserve">Resource allocation in frequency domain for PDSCH/CSI-RS across two DL subbands in SBFD symbols </w:t>
      </w:r>
    </w:p>
    <w:p>
      <w:pPr>
        <w:spacing w:before="0" w:beforeLines="0" w:after="120" w:line="240" w:lineRule="auto"/>
        <w:rPr>
          <w:rFonts w:hint="default" w:eastAsia="宋体"/>
          <w:lang w:val="en-US" w:eastAsia="zh-CN"/>
        </w:rPr>
      </w:pPr>
      <w:r>
        <w:rPr>
          <w:rFonts w:hint="eastAsia"/>
          <w:lang w:val="en-US" w:eastAsia="zh-CN"/>
        </w:rPr>
        <w:t>At the last meeting, when the PRG was determined to be one of the values among {2, 4}, the following agreement was achieved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For frequency domain resource allocation Type 1 for PDSCH</w:t>
            </w:r>
            <w:r>
              <w:rPr>
                <w:rFonts w:hint="eastAsia" w:ascii="Times" w:hAnsi="Times" w:eastAsia="Batang" w:cs="Times"/>
                <w:sz w:val="22"/>
                <w:szCs w:val="32"/>
                <w:lang w:val="en-GB" w:eastAsia="zh-CN"/>
              </w:rPr>
              <w:t xml:space="preserve"> in a single slot </w:t>
            </w:r>
            <w:r>
              <w:rPr>
                <w:rFonts w:hint="eastAsia" w:ascii="Times" w:hAnsi="Times" w:eastAsia="Malgun Gothic" w:cs="Times"/>
                <w:sz w:val="22"/>
                <w:szCs w:val="32"/>
                <w:lang w:val="en-GB" w:eastAsia="zh-CN"/>
              </w:rPr>
              <w:t xml:space="preserve">scheduled at least </w:t>
            </w:r>
            <w:r>
              <w:rPr>
                <w:rFonts w:hint="eastAsia" w:ascii="Times" w:hAnsi="Times" w:eastAsia="Batang" w:cs="Times"/>
                <w:sz w:val="22"/>
                <w:szCs w:val="32"/>
                <w:lang w:val="en-GB" w:eastAsia="zh-CN"/>
              </w:rPr>
              <w:t xml:space="preserve">by DCI </w:t>
            </w:r>
            <w:r>
              <w:rPr>
                <w:rFonts w:hint="eastAsia" w:ascii="Times" w:hAnsi="Times" w:eastAsia="Malgun Gothic" w:cs="Times"/>
                <w:sz w:val="22"/>
                <w:szCs w:val="32"/>
                <w:lang w:val="en-GB" w:eastAsia="zh-CN"/>
              </w:rPr>
              <w:t>format in USS</w:t>
            </w:r>
            <w:r>
              <w:rPr>
                <w:rFonts w:hint="eastAsia" w:ascii="Times" w:hAnsi="Times" w:eastAsia="Malgun Gothic" w:cs="Times"/>
                <w:bCs/>
                <w:sz w:val="22"/>
                <w:szCs w:val="32"/>
                <w:lang w:val="en-GB" w:eastAsia="zh-CN"/>
              </w:rPr>
              <w:t xml:space="preserve"> when PRG </w:t>
            </w:r>
            <w:r>
              <w:rPr>
                <w:rFonts w:hint="eastAsia" w:ascii="Times" w:hAnsi="Times" w:eastAsia="宋体" w:cs="Times New Roman"/>
                <w:bCs/>
                <w:sz w:val="22"/>
                <w:szCs w:val="32"/>
                <w:lang w:val="en-GB"/>
              </w:rPr>
              <w:t>is determined as one of the values among {2, 4}</w:t>
            </w:r>
            <w:r>
              <w:rPr>
                <w:rFonts w:hint="eastAsia" w:ascii="Times" w:hAnsi="Times" w:eastAsia="Malgun Gothic" w:cs="Times"/>
                <w:sz w:val="22"/>
                <w:szCs w:val="32"/>
                <w:lang w:val="en-GB" w:eastAsia="zh-CN"/>
              </w:rPr>
              <w:t xml:space="preserve">, </w:t>
            </w:r>
          </w:p>
          <w:p>
            <w:pPr>
              <w:keepNext w:val="0"/>
              <w:keepLines w:val="0"/>
              <w:widowControl w:val="0"/>
              <w:numPr>
                <w:ilvl w:val="0"/>
                <w:numId w:val="11"/>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 xml:space="preserve">Option 1-1: Only the assigned PRBs within DL usable PRBs are </w:t>
            </w:r>
            <w:r>
              <w:rPr>
                <w:rFonts w:hint="eastAsia" w:ascii="Times" w:hAnsi="Times" w:eastAsia="Malgun Gothic" w:cs="Times"/>
                <w:sz w:val="22"/>
                <w:szCs w:val="32"/>
                <w:lang w:val="en-GB" w:eastAsia="zh-CN"/>
              </w:rPr>
              <w:t>considered to be valid for</w:t>
            </w:r>
            <w:r>
              <w:rPr>
                <w:rFonts w:hint="eastAsia" w:ascii="Times" w:hAnsi="Times" w:eastAsia="Malgun Gothic" w:cs="Times New Roman"/>
                <w:sz w:val="22"/>
                <w:szCs w:val="32"/>
                <w:lang w:val="en-GB" w:eastAsia="zh-CN"/>
              </w:rPr>
              <w:t xml:space="preserve"> PDSCH. Assigned PRBs that fall outside DL usable PRBs are </w:t>
            </w:r>
            <w:r>
              <w:rPr>
                <w:rFonts w:hint="eastAsia" w:ascii="Times" w:hAnsi="Times" w:eastAsia="Malgun Gothic" w:cs="Times"/>
                <w:sz w:val="22"/>
                <w:szCs w:val="32"/>
                <w:lang w:val="en-GB" w:eastAsia="zh-CN"/>
              </w:rPr>
              <w:t>considered to be</w:t>
            </w:r>
            <w:r>
              <w:rPr>
                <w:rFonts w:hint="eastAsia" w:ascii="Times" w:hAnsi="Times" w:eastAsia="Malgun Gothic" w:cs="Times New Roman"/>
                <w:sz w:val="22"/>
                <w:szCs w:val="32"/>
                <w:lang w:val="en-GB" w:eastAsia="zh-CN"/>
              </w:rPr>
              <w:t xml:space="preserve"> invalid and should not be used for PDSCH resource mapping.</w:t>
            </w:r>
          </w:p>
          <w:p>
            <w:pPr>
              <w:keepNext w:val="0"/>
              <w:keepLines w:val="0"/>
              <w:widowControl w:val="0"/>
              <w:numPr>
                <w:ilvl w:val="1"/>
                <w:numId w:val="11"/>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32"/>
                <w:lang w:val="en-GB" w:eastAsia="zh-CN"/>
              </w:rPr>
            </w:pPr>
            <w:r>
              <w:rPr>
                <w:rFonts w:hint="eastAsia" w:ascii="Times" w:hAnsi="Times" w:eastAsia="Malgun Gothic" w:cs="Times"/>
                <w:sz w:val="22"/>
                <w:szCs w:val="32"/>
                <w:lang w:val="en-GB" w:eastAsia="zh-CN"/>
              </w:rPr>
              <w:t>Existing</w:t>
            </w:r>
            <w:r>
              <w:rPr>
                <w:rFonts w:hint="eastAsia" w:ascii="Times" w:hAnsi="Times" w:eastAsia="Malgun Gothic" w:cs="Times New Roman"/>
                <w:sz w:val="22"/>
                <w:szCs w:val="32"/>
                <w:lang w:val="en-GB" w:eastAsia="zh-CN"/>
              </w:rPr>
              <w:t xml:space="preserve"> RB indexing and VRB-to-PRB mapping are reused</w:t>
            </w:r>
          </w:p>
          <w:p>
            <w:pPr>
              <w:keepNext w:val="0"/>
              <w:keepLines w:val="0"/>
              <w:widowControl w:val="0"/>
              <w:numPr>
                <w:ilvl w:val="1"/>
                <w:numId w:val="11"/>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The number of PRBs for TBS determination is based on the assigned PRBs within DL usable PRBs only</w:t>
            </w:r>
          </w:p>
          <w:p>
            <w:pPr>
              <w:keepNext w:val="0"/>
              <w:keepLines w:val="0"/>
              <w:widowControl w:val="0"/>
              <w:numPr>
                <w:ilvl w:val="1"/>
                <w:numId w:val="11"/>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 xml:space="preserve">FFS: DMRS sequence mapping </w:t>
            </w:r>
          </w:p>
          <w:p>
            <w:pPr>
              <w:keepNext w:val="0"/>
              <w:keepLines w:val="0"/>
              <w:widowControl w:val="0"/>
              <w:numPr>
                <w:ilvl w:val="0"/>
                <w:numId w:val="11"/>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等线" w:cs="Times New Roman"/>
                <w:bCs/>
                <w:sz w:val="22"/>
                <w:szCs w:val="32"/>
                <w:lang w:val="en-GB" w:eastAsia="zh-CN"/>
              </w:rPr>
            </w:pPr>
            <w:r>
              <w:rPr>
                <w:rFonts w:hint="eastAsia" w:ascii="Times" w:hAnsi="Times" w:eastAsia="等线" w:cs="Times New Roman"/>
                <w:bCs/>
                <w:sz w:val="22"/>
                <w:szCs w:val="32"/>
                <w:lang w:val="en-GB" w:eastAsia="zh-CN"/>
              </w:rPr>
              <w:t>FFS: when PRG is determined as wideband</w:t>
            </w:r>
          </w:p>
          <w:p>
            <w:pPr>
              <w:keepNext w:val="0"/>
              <w:keepLines w:val="0"/>
              <w:widowControl w:val="0"/>
              <w:numPr>
                <w:ilvl w:val="0"/>
                <w:numId w:val="11"/>
              </w:numPr>
              <w:suppressLineNumbers w:val="0"/>
              <w:autoSpaceDE/>
              <w:autoSpaceDN/>
              <w:adjustRightInd/>
              <w:snapToGrid/>
              <w:spacing w:before="0" w:beforeAutospacing="0" w:after="0" w:afterAutospacing="0" w:line="240" w:lineRule="auto"/>
              <w:ind w:left="720" w:right="0" w:hanging="360"/>
              <w:jc w:val="left"/>
              <w:rPr>
                <w:rFonts w:hint="eastAsia"/>
                <w:vertAlign w:val="baseline"/>
              </w:rPr>
            </w:pPr>
            <w:r>
              <w:rPr>
                <w:rFonts w:hint="eastAsia" w:ascii="Times" w:hAnsi="Times" w:eastAsia="等线" w:cs="Times New Roman"/>
                <w:bCs/>
                <w:sz w:val="22"/>
                <w:szCs w:val="32"/>
                <w:lang w:val="en-GB" w:eastAsia="zh-CN"/>
              </w:rPr>
              <w:t>FFS: partial PRG</w:t>
            </w:r>
          </w:p>
        </w:tc>
      </w:tr>
    </w:tbl>
    <w:p>
      <w:pPr>
        <w:spacing w:before="0" w:beforeLines="0" w:after="120" w:line="240" w:lineRule="auto"/>
        <w:rPr>
          <w:rFonts w:hint="eastAsia"/>
        </w:rPr>
      </w:pPr>
    </w:p>
    <w:p>
      <w:pPr>
        <w:spacing w:before="0" w:beforeLines="0" w:after="120" w:line="240" w:lineRule="auto"/>
        <w:rPr>
          <w:rFonts w:hint="eastAsia"/>
        </w:rPr>
      </w:pPr>
      <w:r>
        <w:rPr>
          <w:rFonts w:hint="eastAsia"/>
          <w:lang w:val="en-US" w:eastAsia="zh-CN"/>
        </w:rPr>
        <w:t xml:space="preserve">When the PRG is determined to be wideband, there was still no conclusion. </w:t>
      </w:r>
      <w:r>
        <w:rPr>
          <w:rFonts w:hint="eastAsia"/>
        </w:rPr>
        <w:t xml:space="preserve">For PDSCH, if the PRG is determined to be wideband, the following two options are </w:t>
      </w:r>
      <w:r>
        <w:rPr>
          <w:rFonts w:hint="eastAsia"/>
          <w:lang w:val="en-US" w:eastAsia="zh-CN"/>
        </w:rPr>
        <w:t>proposed and discussed [4]</w:t>
      </w:r>
      <w:r>
        <w:rPr>
          <w:rFonts w:hint="eastAsia"/>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numPr>
                <w:ilvl w:val="0"/>
                <w:numId w:val="12"/>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2"/>
                <w:szCs w:val="32"/>
                <w:lang w:val="en-GB" w:eastAsia="zh-CN" w:bidi="ar-SA"/>
              </w:rPr>
            </w:pPr>
            <w:r>
              <w:rPr>
                <w:rFonts w:hint="eastAsia" w:ascii="Times New Roman" w:hAnsi="Times New Roman" w:eastAsia="Malgun Gothic" w:cs="Times New Roman"/>
                <w:sz w:val="22"/>
                <w:szCs w:val="32"/>
                <w:lang w:val="en-GB" w:eastAsia="zh-CN" w:bidi="ar-SA"/>
              </w:rPr>
              <w:t>Option 1: Frequency resources that are not contiguous between the two DL sub-bands can be allocated, but frequency resources that are contiguous within each DL sub-band can be allocated</w:t>
            </w:r>
          </w:p>
          <w:p>
            <w:pPr>
              <w:keepNext w:val="0"/>
              <w:keepLines w:val="0"/>
              <w:widowControl w:val="0"/>
              <w:numPr>
                <w:ilvl w:val="0"/>
                <w:numId w:val="12"/>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vertAlign w:val="baseline"/>
              </w:rPr>
            </w:pPr>
            <w:r>
              <w:rPr>
                <w:rFonts w:hint="eastAsia" w:ascii="Times New Roman" w:hAnsi="Times New Roman" w:eastAsia="Malgun Gothic" w:cs="Times New Roman"/>
                <w:sz w:val="22"/>
                <w:szCs w:val="32"/>
                <w:lang w:val="en-GB" w:eastAsia="zh-CN" w:bidi="ar-SA"/>
              </w:rPr>
              <w:t>Option 2: It is not possible to allocate frequency resources that are not contiguous in the two DL sub-bands.</w:t>
            </w:r>
          </w:p>
        </w:tc>
      </w:tr>
    </w:tbl>
    <w:p>
      <w:pPr>
        <w:spacing w:before="0" w:beforeLines="0" w:after="120" w:line="240" w:lineRule="auto"/>
        <w:rPr>
          <w:rFonts w:hint="eastAsia"/>
        </w:rPr>
      </w:pPr>
    </w:p>
    <w:p>
      <w:pPr>
        <w:spacing w:before="0" w:beforeLines="0" w:after="120" w:line="240" w:lineRule="auto"/>
      </w:pPr>
      <w:r>
        <w:rPr>
          <w:rFonts w:hint="eastAsia"/>
        </w:rPr>
        <w:t>Compared with Option 2</w:t>
      </w:r>
      <w:r>
        <w:rPr>
          <w:rFonts w:hint="eastAsia"/>
          <w:lang w:val="en-US" w:eastAsia="zh-CN"/>
        </w:rPr>
        <w:t>,</w:t>
      </w:r>
      <w:r>
        <w:rPr>
          <w:rFonts w:hint="eastAsia"/>
        </w:rPr>
        <w:t xml:space="preserve"> Option 1 could achieve higher DL data rates</w:t>
      </w:r>
      <w:r>
        <w:rPr>
          <w:rFonts w:hint="eastAsia"/>
          <w:lang w:val="en-US" w:eastAsia="zh-CN"/>
        </w:rPr>
        <w:t xml:space="preserve"> and </w:t>
      </w:r>
      <w:r>
        <w:rPr>
          <w:rFonts w:hint="eastAsia"/>
        </w:rPr>
        <w:t>better scheduling flexibility</w:t>
      </w:r>
      <w:r>
        <w:rPr>
          <w:rFonts w:hint="eastAsia"/>
          <w:lang w:val="en-US" w:eastAsia="zh-CN"/>
        </w:rPr>
        <w:t>.</w:t>
      </w:r>
      <w:r>
        <w:rPr>
          <w:rFonts w:hint="eastAsia"/>
        </w:rPr>
        <w:t xml:space="preserve"> </w:t>
      </w:r>
      <w:r>
        <w:rPr>
          <w:rFonts w:hint="eastAsia"/>
          <w:lang w:val="en-US" w:eastAsia="zh-CN"/>
        </w:rPr>
        <w:t>In the other hand</w:t>
      </w:r>
      <w:r>
        <w:rPr>
          <w:rFonts w:hint="eastAsia"/>
        </w:rPr>
        <w:t xml:space="preserve">, </w:t>
      </w:r>
      <w:r>
        <w:rPr>
          <w:rFonts w:hint="eastAsia"/>
          <w:lang w:val="en-US" w:eastAsia="zh-CN"/>
        </w:rPr>
        <w:t xml:space="preserve">in </w:t>
      </w:r>
      <w:r>
        <w:rPr>
          <w:rFonts w:hint="eastAsia"/>
        </w:rPr>
        <w:t>Option 1</w:t>
      </w:r>
      <w:r>
        <w:rPr>
          <w:rFonts w:hint="eastAsia"/>
          <w:lang w:val="en-US" w:eastAsia="zh-CN"/>
        </w:rPr>
        <w:t xml:space="preserve">, </w:t>
      </w:r>
      <w:r>
        <w:rPr>
          <w:rFonts w:hint="eastAsia"/>
        </w:rPr>
        <w:t>UE</w:t>
      </w:r>
      <w:r>
        <w:rPr>
          <w:rFonts w:hint="eastAsia"/>
          <w:lang w:val="en-US" w:eastAsia="zh-CN"/>
        </w:rPr>
        <w:t xml:space="preserve"> need</w:t>
      </w:r>
      <w:r>
        <w:rPr>
          <w:rFonts w:hint="eastAsia"/>
        </w:rPr>
        <w:t xml:space="preserve"> to </w:t>
      </w:r>
      <w:r>
        <w:rPr>
          <w:rFonts w:hint="eastAsia"/>
          <w:lang w:val="en-US" w:eastAsia="zh-CN"/>
        </w:rPr>
        <w:t>perform channel estimation in</w:t>
      </w:r>
      <w:r>
        <w:rPr>
          <w:rFonts w:hint="eastAsia"/>
        </w:rPr>
        <w:t xml:space="preserve"> two non-contiguous segments of contiguous RBs</w:t>
      </w:r>
      <w:r>
        <w:rPr>
          <w:rFonts w:hint="eastAsia"/>
          <w:lang w:val="en-US" w:eastAsia="zh-CN"/>
        </w:rPr>
        <w:t>.</w:t>
      </w:r>
      <w:r>
        <w:rPr>
          <w:rFonts w:hint="eastAsia"/>
        </w:rPr>
        <w:t xml:space="preserve"> which may increase the complexity of UE channel estimation. However, the complexity of UE channel estimation for Option 1</w:t>
      </w:r>
      <w:r>
        <w:rPr>
          <w:rFonts w:hint="eastAsia"/>
          <w:lang w:val="en-US" w:eastAsia="zh-CN"/>
        </w:rPr>
        <w:t xml:space="preserve"> is similar to that when</w:t>
      </w:r>
      <w:r>
        <w:rPr>
          <w:rFonts w:hint="eastAsia"/>
        </w:rPr>
        <w:t xml:space="preserve"> PRGs of size</w:t>
      </w:r>
      <w:r>
        <w:rPr>
          <w:rFonts w:hint="eastAsia"/>
          <w:lang w:val="en-US" w:eastAsia="zh-CN"/>
        </w:rPr>
        <w:t xml:space="preserve"> are</w:t>
      </w:r>
      <w:r>
        <w:rPr>
          <w:rFonts w:hint="eastAsia"/>
        </w:rPr>
        <w:t xml:space="preserve"> </w:t>
      </w:r>
      <w:r>
        <w:rPr>
          <w:rFonts w:hint="eastAsia"/>
          <w:lang w:val="en-US" w:eastAsia="zh-CN"/>
        </w:rPr>
        <w:t xml:space="preserve">set to </w:t>
      </w:r>
      <w:r>
        <w:rPr>
          <w:rFonts w:hint="eastAsia"/>
        </w:rPr>
        <w:t>2 or 4.</w:t>
      </w:r>
    </w:p>
    <w:p>
      <w:pPr>
        <w:spacing w:before="0" w:beforeLines="0" w:after="120" w:line="240" w:lineRule="auto"/>
        <w:rPr>
          <w:b/>
          <w:bCs/>
          <w:i/>
          <w:iCs w:val="0"/>
        </w:rPr>
      </w:pPr>
      <w:r>
        <w:rPr>
          <w:rFonts w:cs="Times New Roman"/>
          <w:b/>
          <w:i/>
        </w:rPr>
        <w:t xml:space="preserve">Proposal </w:t>
      </w:r>
      <w:r>
        <w:rPr>
          <w:rFonts w:hint="eastAsia" w:cs="Times New Roman"/>
          <w:b/>
          <w:i/>
          <w:lang w:val="en-US" w:eastAsia="zh-CN"/>
        </w:rPr>
        <w:t>3</w:t>
      </w:r>
      <w:r>
        <w:rPr>
          <w:rFonts w:cs="Times New Roman"/>
          <w:b/>
          <w:i/>
        </w:rPr>
        <w:t xml:space="preserve">: </w:t>
      </w:r>
      <w:r>
        <w:rPr>
          <w:rFonts w:cs="Times New Roman"/>
          <w:b/>
          <w:bCs/>
          <w:i/>
          <w:iCs w:val="0"/>
        </w:rPr>
        <w:t>For</w:t>
      </w:r>
      <w:r>
        <w:rPr>
          <w:b/>
          <w:bCs/>
          <w:i/>
          <w:iCs w:val="0"/>
        </w:rPr>
        <w:t xml:space="preserve"> PDSCH, if PRG is determined </w:t>
      </w:r>
      <w:r>
        <w:rPr>
          <w:rFonts w:hint="eastAsia"/>
          <w:b/>
          <w:bCs/>
          <w:i/>
          <w:iCs w:val="0"/>
          <w:lang w:val="en-US" w:eastAsia="zh-CN"/>
        </w:rPr>
        <w:t>to be</w:t>
      </w:r>
      <w:r>
        <w:rPr>
          <w:b/>
          <w:bCs/>
          <w:i/>
          <w:iCs w:val="0"/>
        </w:rPr>
        <w:t xml:space="preserve"> wideband, </w:t>
      </w:r>
      <w:r>
        <w:rPr>
          <w:rFonts w:hint="eastAsia"/>
          <w:b/>
          <w:bCs/>
          <w:i/>
          <w:iCs w:val="0"/>
          <w:lang w:val="en-US" w:eastAsia="zh-CN"/>
        </w:rPr>
        <w:t>Option 1</w:t>
      </w:r>
      <w:r>
        <w:rPr>
          <w:b/>
          <w:bCs/>
          <w:i/>
          <w:iCs w:val="0"/>
        </w:rPr>
        <w:t xml:space="preserve"> </w:t>
      </w:r>
      <w:r>
        <w:rPr>
          <w:rFonts w:hint="eastAsia"/>
          <w:b/>
          <w:bCs/>
          <w:i/>
          <w:iCs w:val="0"/>
          <w:lang w:val="en-US" w:eastAsia="zh-CN"/>
        </w:rPr>
        <w:t>should be</w:t>
      </w:r>
      <w:r>
        <w:rPr>
          <w:b/>
          <w:bCs/>
          <w:i/>
          <w:iCs w:val="0"/>
        </w:rPr>
        <w:t xml:space="preserve"> supported</w:t>
      </w:r>
    </w:p>
    <w:p>
      <w:pPr>
        <w:pStyle w:val="55"/>
        <w:numPr>
          <w:ilvl w:val="0"/>
          <w:numId w:val="13"/>
        </w:numPr>
        <w:spacing w:before="0" w:beforeLines="0" w:after="120" w:line="240" w:lineRule="auto"/>
        <w:ind w:firstLineChars="0"/>
        <w:rPr>
          <w:b/>
          <w:bCs/>
          <w:i/>
          <w:iCs w:val="0"/>
        </w:rPr>
      </w:pPr>
      <w:r>
        <w:rPr>
          <w:b/>
          <w:bCs/>
          <w:i/>
          <w:iCs w:val="0"/>
        </w:rPr>
        <w:t>Option 1: non-contiguous frequency resources across two DL subbands but contiguous frequency resource within each DL subband can be allocated.</w:t>
      </w:r>
    </w:p>
    <w:p>
      <w:pPr>
        <w:pStyle w:val="55"/>
        <w:numPr>
          <w:ilvl w:val="0"/>
          <w:numId w:val="0"/>
        </w:numPr>
        <w:spacing w:before="0" w:beforeLines="0" w:after="120" w:line="240" w:lineRule="auto"/>
        <w:ind w:leftChars="0"/>
        <w:rPr>
          <w:i/>
        </w:rPr>
      </w:pPr>
    </w:p>
    <w:p>
      <w:pPr>
        <w:pStyle w:val="55"/>
        <w:numPr>
          <w:ilvl w:val="0"/>
          <w:numId w:val="10"/>
        </w:numPr>
        <w:spacing w:before="0" w:beforeLines="0" w:after="120" w:line="240" w:lineRule="auto"/>
        <w:ind w:firstLineChars="0"/>
        <w:rPr>
          <w:b/>
          <w:lang w:eastAsia="zh-CN"/>
        </w:rPr>
      </w:pPr>
      <w:r>
        <w:rPr>
          <w:rFonts w:hint="eastAsia"/>
          <w:b/>
          <w:lang w:eastAsia="zh-CN"/>
        </w:rPr>
        <w:t>PUSCH scheduled by fallback DCI</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For dynamically scheduled PUSCHs, the numbering of the RBs in the scheduling information starts with the lowest RB in the active UL BWP.</w:t>
      </w:r>
      <w:r>
        <w:rPr>
          <w:rFonts w:hint="eastAsia" w:eastAsiaTheme="minorEastAsia"/>
          <w:color w:val="000000" w:themeColor="text1"/>
          <w:lang w:val="en-US" w:eastAsia="zh-CN"/>
          <w14:textFill>
            <w14:solidFill>
              <w14:schemeClr w14:val="tx1"/>
            </w14:solidFill>
          </w14:textFill>
        </w:rPr>
        <w:t xml:space="preserve"> Accordingly, the number of RBs indicated by the scheduling information is determined by the bitwidth of the FDRA field in the DCI. For DCI format 0_0, the bitwidth of the FDRA field is determined by the size of the initial uplink BWP, both in CSS and in USS. However, the </w:t>
      </w:r>
      <w:r>
        <w:rPr>
          <w:rFonts w:hint="eastAsia" w:eastAsiaTheme="minorEastAsia"/>
          <w:color w:val="000000" w:themeColor="text1"/>
          <w:lang w:eastAsia="zh-CN"/>
          <w14:textFill>
            <w14:solidFill>
              <w14:schemeClr w14:val="tx1"/>
            </w14:solidFill>
          </w14:textFill>
        </w:rPr>
        <w:t>size of initial UL BWP can be smaller than the size of active UL BWP</w:t>
      </w:r>
      <w:r>
        <w:rPr>
          <w:rFonts w:hint="eastAsia" w:eastAsiaTheme="minorEastAsia"/>
          <w:color w:val="000000" w:themeColor="text1"/>
          <w:lang w:val="en-US" w:eastAsia="zh-CN"/>
          <w14:textFill>
            <w14:solidFill>
              <w14:schemeClr w14:val="tx1"/>
            </w14:solidFill>
          </w14:textFill>
        </w:rPr>
        <w:t xml:space="preserve">, resulting in the available RBs indicated by DCI format 0_0 not covering the entire active UL BWP. </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For example, if some or all of the RBs within the UL subband are located outside the first </w:t>
      </w:r>
      <m:oMath>
        <m:sSubSup>
          <m:sSubSupPr>
            <m:ctrlPr>
              <w:rPr>
                <w:rFonts w:ascii="Cambria Math" w:hAnsi="Cambria Math" w:eastAsiaTheme="minorEastAsia"/>
                <w:color w:val="000000" w:themeColor="text1"/>
                <w:lang w:eastAsia="zh-CN"/>
                <w14:textFill>
                  <w14:solidFill>
                    <w14:schemeClr w14:val="tx1"/>
                  </w14:solidFill>
                </w14:textFill>
              </w:rPr>
            </m:ctrlPr>
          </m:sSubSupPr>
          <m:e>
            <m:r>
              <w:rPr>
                <w:rFonts w:ascii="Cambria Math" w:hAnsi="Cambria Math" w:eastAsiaTheme="minorEastAsia"/>
                <w:color w:val="000000" w:themeColor="text1"/>
                <w:lang w:eastAsia="zh-CN"/>
                <w14:textFill>
                  <w14:solidFill>
                    <w14:schemeClr w14:val="tx1"/>
                  </w14:solidFill>
                </w14:textFill>
              </w:rPr>
              <m:t>N</m:t>
            </m:r>
            <m:ctrlPr>
              <w:rPr>
                <w:rFonts w:ascii="Cambria Math" w:hAnsi="Cambria Math" w:eastAsiaTheme="minorEastAsia"/>
                <w:color w:val="000000" w:themeColor="text1"/>
                <w:lang w:eastAsia="zh-CN"/>
                <w14:textFill>
                  <w14:solidFill>
                    <w14:schemeClr w14:val="tx1"/>
                  </w14:solidFill>
                </w14:textFill>
              </w:rPr>
            </m:ctrlPr>
          </m:e>
          <m:sub>
            <m:r>
              <w:rPr>
                <w:rFonts w:ascii="Cambria Math" w:hAnsi="Cambria Math" w:eastAsiaTheme="minorEastAsia"/>
                <w:color w:val="000000" w:themeColor="text1"/>
                <w:lang w:eastAsia="zh-CN"/>
                <w14:textFill>
                  <w14:solidFill>
                    <w14:schemeClr w14:val="tx1"/>
                  </w14:solidFill>
                </w14:textFill>
              </w:rPr>
              <m:t>BWP,0</m:t>
            </m:r>
            <m:ctrlPr>
              <w:rPr>
                <w:rFonts w:ascii="Cambria Math" w:hAnsi="Cambria Math" w:eastAsiaTheme="minorEastAsia"/>
                <w:color w:val="000000" w:themeColor="text1"/>
                <w:lang w:eastAsia="zh-CN"/>
                <w14:textFill>
                  <w14:solidFill>
                    <w14:schemeClr w14:val="tx1"/>
                  </w14:solidFill>
                </w14:textFill>
              </w:rPr>
            </m:ctrlPr>
          </m:sub>
          <m:sup>
            <m:r>
              <w:rPr>
                <w:rFonts w:ascii="Cambria Math" w:hAnsi="Cambria Math" w:eastAsiaTheme="minorEastAsia"/>
                <w:color w:val="000000" w:themeColor="text1"/>
                <w:lang w:eastAsia="zh-CN"/>
                <w14:textFill>
                  <w14:solidFill>
                    <w14:schemeClr w14:val="tx1"/>
                  </w14:solidFill>
                </w14:textFill>
              </w:rPr>
              <m:t>size</m:t>
            </m:r>
            <m:ctrlPr>
              <w:rPr>
                <w:rFonts w:ascii="Cambria Math" w:hAnsi="Cambria Math" w:eastAsiaTheme="minorEastAsia"/>
                <w:color w:val="000000" w:themeColor="text1"/>
                <w:lang w:eastAsia="zh-CN"/>
                <w14:textFill>
                  <w14:solidFill>
                    <w14:schemeClr w14:val="tx1"/>
                  </w14:solidFill>
                </w14:textFill>
              </w:rPr>
            </m:ctrlPr>
          </m:sup>
        </m:sSubSup>
      </m:oMath>
      <w:r>
        <w:rPr>
          <w:rFonts w:hint="eastAsia" w:eastAsiaTheme="minorEastAsia"/>
          <w:color w:val="000000" w:themeColor="text1"/>
          <w:lang w:val="en-US" w:eastAsia="zh-CN"/>
          <w14:textFill>
            <w14:solidFill>
              <w14:schemeClr w14:val="tx1"/>
            </w14:solidFill>
          </w14:textFill>
        </w:rPr>
        <w:t xml:space="preserve"> RBs of the lowest RB in the active UL BWP, then some or all of the RBs within the UL subband cannot be indicated by the DCI format 0_0 in CSS.</w:t>
      </w:r>
    </w:p>
    <w:p>
      <w:pPr>
        <w:spacing w:before="120" w:beforeLines="50" w:after="120"/>
        <w:jc w:val="both"/>
        <w:rPr>
          <w:rFonts w:hint="default" w:eastAsia="宋体"/>
          <w:color w:val="000000"/>
          <w:lang w:val="en-US" w:eastAsia="zh-CN"/>
        </w:rPr>
      </w:pPr>
      <w:r>
        <w:rPr>
          <w:rFonts w:hint="eastAsia" w:eastAsiaTheme="minorEastAsia"/>
          <w:color w:val="000000" w:themeColor="text1"/>
          <w:lang w:val="en-US" w:eastAsia="zh-CN"/>
          <w14:textFill>
            <w14:solidFill>
              <w14:schemeClr w14:val="tx1"/>
            </w14:solidFill>
          </w14:textFill>
        </w:rPr>
        <w:t xml:space="preserve">Regarding the </w:t>
      </w:r>
      <w:r>
        <w:rPr>
          <w:rFonts w:hint="eastAsia" w:eastAsiaTheme="minorEastAsia"/>
          <w:color w:val="000000" w:themeColor="text1"/>
          <w:lang w:eastAsia="zh-CN"/>
          <w14:textFill>
            <w14:solidFill>
              <w14:schemeClr w14:val="tx1"/>
            </w14:solidFill>
          </w14:textFill>
        </w:rPr>
        <w:t xml:space="preserve">DCI </w:t>
      </w:r>
      <w:r>
        <w:rPr>
          <w:rFonts w:eastAsiaTheme="minorEastAsia"/>
          <w:color w:val="000000" w:themeColor="text1"/>
          <w:lang w:eastAsia="zh-CN"/>
          <w14:textFill>
            <w14:solidFill>
              <w14:schemeClr w14:val="tx1"/>
            </w14:solidFill>
          </w14:textFill>
        </w:rPr>
        <w:t>format</w:t>
      </w:r>
      <w:r>
        <w:rPr>
          <w:rFonts w:hint="eastAsia" w:eastAsiaTheme="minorEastAsia"/>
          <w:color w:val="000000" w:themeColor="text1"/>
          <w:lang w:eastAsia="zh-CN"/>
          <w14:textFill>
            <w14:solidFill>
              <w14:schemeClr w14:val="tx1"/>
            </w14:solidFill>
          </w14:textFill>
        </w:rPr>
        <w:t xml:space="preserve"> 0_0 in USS</w:t>
      </w:r>
      <w:r>
        <w:rPr>
          <w:rFonts w:hint="eastAsia" w:eastAsiaTheme="minorEastAsia"/>
          <w:color w:val="000000" w:themeColor="text1"/>
          <w:lang w:val="en-US" w:eastAsia="zh-CN"/>
          <w14:textFill>
            <w14:solidFill>
              <w14:schemeClr w14:val="tx1"/>
            </w14:solidFill>
          </w14:textFill>
        </w:rPr>
        <w:t>, although the bitwidth of the FDRA field is</w:t>
      </w:r>
      <w:r>
        <w:rPr>
          <w:color w:val="000000"/>
        </w:rPr>
        <w:t xml:space="preserve"> derived from the initial UL BWP with size </w:t>
      </w:r>
      <m:oMath>
        <m:sSubSup>
          <m:sSubSupPr>
            <m:ctrlPr>
              <w:rPr>
                <w:rFonts w:ascii="Cambria Math" w:hAnsi="Cambria Math"/>
                <w:color w:val="000000"/>
              </w:rPr>
            </m:ctrlPr>
          </m:sSubSupPr>
          <m:e>
            <m: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w:rPr>
                <w:rFonts w:ascii="Cambria Math" w:hAnsi="Cambria Math"/>
                <w:color w:val="000000"/>
              </w:rPr>
              <m:t>initial</m:t>
            </m:r>
            <m:ctrlPr>
              <w:rPr>
                <w:rFonts w:ascii="Cambria Math" w:hAnsi="Cambria Math"/>
                <w:color w:val="000000"/>
              </w:rPr>
            </m:ctrlPr>
          </m:sup>
        </m:sSubSup>
      </m:oMath>
      <w:r>
        <w:rPr>
          <w:rFonts w:hint="eastAsia"/>
          <w:color w:val="000000"/>
          <w:lang w:val="en-US" w:eastAsia="zh-CN"/>
        </w:rPr>
        <w:t xml:space="preserve">, it should </w:t>
      </w:r>
      <w:r>
        <w:rPr>
          <w:color w:val="000000"/>
        </w:rPr>
        <w:t>appl</w:t>
      </w:r>
      <w:r>
        <w:rPr>
          <w:rFonts w:hint="eastAsia"/>
          <w:color w:val="000000"/>
          <w:lang w:val="en-US" w:eastAsia="zh-CN"/>
        </w:rPr>
        <w:t>y</w:t>
      </w:r>
      <w:r>
        <w:rPr>
          <w:color w:val="000000"/>
        </w:rPr>
        <w:t xml:space="preserve"> to </w:t>
      </w:r>
      <w:r>
        <w:rPr>
          <w:rFonts w:hint="eastAsia"/>
          <w:color w:val="000000"/>
          <w:lang w:val="en-US" w:eastAsia="zh-CN"/>
        </w:rPr>
        <w:t>the</w:t>
      </w:r>
      <w:r>
        <w:rPr>
          <w:color w:val="000000"/>
        </w:rPr>
        <w:t xml:space="preserve"> active </w:t>
      </w:r>
      <w:r>
        <w:rPr>
          <w:rFonts w:hint="eastAsia" w:eastAsiaTheme="minorEastAsia"/>
          <w:color w:val="000000"/>
          <w:lang w:eastAsia="zh-CN"/>
        </w:rPr>
        <w:t xml:space="preserve">UL </w:t>
      </w:r>
      <w:r>
        <w:rPr>
          <w:color w:val="000000"/>
        </w:rPr>
        <w:t xml:space="preserve">BWP with size of </w:t>
      </w:r>
      <m:oMath>
        <m:sSubSup>
          <m:sSubSupPr>
            <m:ctrlPr>
              <w:rPr>
                <w:rFonts w:ascii="Cambria Math" w:hAnsi="Cambria Math"/>
                <w:color w:val="000000"/>
              </w:rPr>
            </m:ctrlPr>
          </m:sSubSupPr>
          <m:e>
            <m: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w:rPr>
                <w:rFonts w:ascii="Cambria Math" w:hAnsi="Cambria Math"/>
                <w:color w:val="000000"/>
              </w:rPr>
              <m:t>active</m:t>
            </m:r>
            <m:ctrlPr>
              <w:rPr>
                <w:rFonts w:ascii="Cambria Math" w:hAnsi="Cambria Math"/>
                <w:color w:val="000000"/>
              </w:rPr>
            </m:ctrlPr>
          </m:sup>
        </m:sSubSup>
      </m:oMath>
      <w:r>
        <w:rPr>
          <w:rFonts w:hint="eastAsia" w:ascii="Cambria Math" w:hAnsi="Cambria Math"/>
          <w:i w:val="0"/>
          <w:color w:val="000000"/>
          <w:lang w:val="en-US" w:eastAsia="zh-CN"/>
        </w:rPr>
        <w:t xml:space="preserve">. </w:t>
      </w:r>
      <w:r>
        <w:rPr>
          <w:rFonts w:hint="default" w:ascii="Times New Roman" w:hAnsi="Times New Roman"/>
          <w:i w:val="0"/>
          <w:color w:val="000000"/>
          <w:lang w:val="en-US" w:eastAsia="zh-CN"/>
        </w:rPr>
        <w:t xml:space="preserve">Considering </w:t>
      </w:r>
      <w:r>
        <w:rPr>
          <w:rFonts w:hint="eastAsia"/>
          <w:i w:val="0"/>
          <w:color w:val="000000"/>
          <w:lang w:val="en-US" w:eastAsia="zh-CN"/>
        </w:rPr>
        <w:t xml:space="preserve">that the size of the </w:t>
      </w:r>
      <w:r>
        <w:rPr>
          <w:color w:val="000000"/>
        </w:rPr>
        <w:t>initial UL BWP</w:t>
      </w:r>
      <w:r>
        <w:rPr>
          <w:rFonts w:hint="eastAsia"/>
          <w:color w:val="000000"/>
          <w:lang w:val="en-US" w:eastAsia="zh-CN"/>
        </w:rPr>
        <w:t xml:space="preserve"> may be </w:t>
      </w:r>
      <w:r>
        <w:rPr>
          <w:rFonts w:hint="eastAsia" w:eastAsiaTheme="minorEastAsia"/>
          <w:color w:val="000000" w:themeColor="text1"/>
          <w:lang w:eastAsia="zh-CN"/>
          <w14:textFill>
            <w14:solidFill>
              <w14:schemeClr w14:val="tx1"/>
            </w14:solidFill>
          </w14:textFill>
        </w:rPr>
        <w:t>smaller than the size of active UL BWP</w:t>
      </w:r>
      <w:r>
        <w:rPr>
          <w:rFonts w:hint="eastAsia" w:eastAsiaTheme="minorEastAsia"/>
          <w:color w:val="000000" w:themeColor="text1"/>
          <w:lang w:val="en-US" w:eastAsia="zh-CN"/>
          <w14:textFill>
            <w14:solidFill>
              <w14:schemeClr w14:val="tx1"/>
            </w14:solidFill>
          </w14:textFill>
        </w:rPr>
        <w:t xml:space="preserve">, the </w:t>
      </w:r>
      <w:r>
        <w:rPr>
          <w:rFonts w:hint="eastAsia" w:eastAsiaTheme="minorEastAsia"/>
          <w:color w:val="000000"/>
          <w:lang w:eastAsia="zh-CN"/>
        </w:rPr>
        <w:t xml:space="preserve">scaling factor </w:t>
      </w:r>
      <w:r>
        <w:rPr>
          <w:rFonts w:eastAsiaTheme="minorEastAsia"/>
          <w:i/>
          <w:color w:val="000000"/>
          <w:lang w:eastAsia="zh-CN"/>
        </w:rPr>
        <w:t>K</w:t>
      </w:r>
      <w:r>
        <w:rPr>
          <w:rFonts w:hint="eastAsia" w:eastAsiaTheme="minorEastAsia"/>
          <w:color w:val="000000"/>
          <w:lang w:eastAsia="zh-CN"/>
        </w:rPr>
        <w:t xml:space="preserve"> for</w:t>
      </w:r>
      <w:r>
        <w:rPr>
          <w:rFonts w:hint="eastAsia" w:eastAsiaTheme="minorEastAsia"/>
          <w:color w:val="000000"/>
          <w:lang w:val="en-US" w:eastAsia="zh-CN"/>
        </w:rPr>
        <w:t xml:space="preserve"> the</w:t>
      </w:r>
      <w:r>
        <w:rPr>
          <w:rFonts w:hint="eastAsia" w:eastAsiaTheme="minorEastAsia"/>
          <w:color w:val="000000"/>
          <w:lang w:eastAsia="zh-CN"/>
        </w:rPr>
        <w:t xml:space="preserve"> RB allocation granularity is determined based on </w:t>
      </w:r>
      <w:r>
        <w:rPr>
          <w:rFonts w:eastAsiaTheme="minorEastAsia"/>
          <w:color w:val="000000"/>
          <w:lang w:eastAsia="zh-CN"/>
        </w:rPr>
        <w:t>the</w:t>
      </w:r>
      <w:r>
        <w:rPr>
          <w:rFonts w:hint="eastAsia" w:eastAsiaTheme="minorEastAsia"/>
          <w:color w:val="000000"/>
          <w:lang w:val="en-US" w:eastAsia="zh-CN"/>
        </w:rPr>
        <w:t xml:space="preserve"> ratio of the</w:t>
      </w:r>
      <w:r>
        <w:rPr>
          <w:rFonts w:hint="eastAsia" w:eastAsiaTheme="minorEastAsia"/>
          <w:color w:val="000000"/>
          <w:lang w:eastAsia="zh-CN"/>
        </w:rPr>
        <w:t xml:space="preserve"> size of active UL BWP </w:t>
      </w:r>
      <w:r>
        <w:rPr>
          <w:rFonts w:hint="eastAsia" w:eastAsiaTheme="minorEastAsia"/>
          <w:color w:val="000000"/>
          <w:lang w:val="en-US" w:eastAsia="zh-CN"/>
        </w:rPr>
        <w:t>to</w:t>
      </w:r>
      <w:r>
        <w:rPr>
          <w:rFonts w:hint="eastAsia" w:eastAsiaTheme="minorEastAsia"/>
          <w:color w:val="000000"/>
          <w:lang w:eastAsia="zh-CN"/>
        </w:rPr>
        <w:t xml:space="preserve"> the size of initial UL BWP.</w:t>
      </w:r>
      <w:r>
        <w:rPr>
          <w:rFonts w:hint="eastAsia"/>
          <w:i w:val="0"/>
          <w:color w:val="000000"/>
          <w:lang w:val="en-US" w:eastAsia="zh-CN"/>
        </w:rPr>
        <w:t xml:space="preserve"> Despite the introduction of the scaling factor K, it is still possible that only a portion of the RBs in the active UL BWP can be indicated, while some or all of the RBs in the UL subbands are not in this portion of the RBs.</w:t>
      </w:r>
    </w:p>
    <w:p>
      <w:pPr>
        <w:spacing w:before="120" w:beforeLines="50" w:after="120"/>
        <w:jc w:val="both"/>
        <w:rPr>
          <w:rFonts w:eastAsiaTheme="minorEastAsia"/>
          <w:lang w:eastAsia="zh-CN"/>
        </w:rPr>
      </w:pPr>
      <w:r>
        <w:rPr>
          <w:rFonts w:hint="eastAsia" w:eastAsiaTheme="minorEastAsia"/>
          <w:color w:val="000000" w:themeColor="text1"/>
          <w:lang w:val="en-US" w:eastAsia="zh-CN"/>
          <w14:textFill>
            <w14:solidFill>
              <w14:schemeClr w14:val="tx1"/>
            </w14:solidFill>
          </w14:textFill>
        </w:rPr>
        <w:t xml:space="preserve">In summary, if the DCI carrying the scheduling information is a fallback DCI, then in some cases the fallback DCI can only indicate some of the RBs in the active UL BWP, resulting in some or all of the RBs in the UL subband not being indicated by the fallback DCI. </w:t>
      </w:r>
      <w:r>
        <w:rPr>
          <w:rFonts w:hint="default" w:eastAsiaTheme="minorEastAsia"/>
          <w:color w:val="000000" w:themeColor="text1"/>
          <w:lang w:val="en-US" w:eastAsia="zh-CN"/>
          <w14:textFill>
            <w14:solidFill>
              <w14:schemeClr w14:val="tx1"/>
            </w14:solidFill>
          </w14:textFill>
        </w:rPr>
        <w:t>It was suggested to discuss how to address this issue in cases where the RB within the UL subband cannot be indicated by a fallback DCI.</w:t>
      </w:r>
      <w:bookmarkStart w:id="7" w:name="OLE_LINK12"/>
    </w:p>
    <w:bookmarkEnd w:id="7"/>
    <w:p>
      <w:pPr>
        <w:spacing w:before="0" w:beforeLines="0" w:after="120" w:line="240" w:lineRule="auto"/>
        <w:rPr>
          <w:rFonts w:cs="Times New Roman"/>
          <w:b/>
          <w:i/>
          <w:lang w:val="zh-CN" w:eastAsia="zh-CN"/>
        </w:rPr>
      </w:pPr>
      <w:bookmarkStart w:id="8" w:name="OLE_LINK21"/>
      <w:r>
        <w:rPr>
          <w:rFonts w:hint="eastAsia" w:cs="Times New Roman"/>
          <w:b/>
          <w:i/>
          <w:lang w:eastAsia="zh-CN"/>
        </w:rPr>
        <w:t xml:space="preserve">Proposal </w:t>
      </w:r>
      <w:r>
        <w:rPr>
          <w:rFonts w:hint="eastAsia" w:cs="Times New Roman"/>
          <w:b/>
          <w:i/>
          <w:lang w:val="en-US" w:eastAsia="zh-CN"/>
        </w:rPr>
        <w:t>4</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bookmarkEnd w:id="8"/>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Configurations for SRS, PUCCH and PUSCH on SBFD symbols and non-SBFD symbols</w:t>
      </w:r>
    </w:p>
    <w:p>
      <w:pPr>
        <w:pStyle w:val="55"/>
        <w:numPr>
          <w:ilvl w:val="0"/>
          <w:numId w:val="10"/>
        </w:numPr>
        <w:spacing w:before="120" w:beforeLines="0" w:after="120" w:line="240" w:lineRule="auto"/>
        <w:ind w:firstLineChars="0"/>
      </w:pPr>
      <w:r>
        <w:rPr>
          <w:b/>
        </w:rPr>
        <w:t>Configurations for SRS</w:t>
      </w:r>
    </w:p>
    <w:p>
      <w:pPr>
        <w:widowControl/>
        <w:autoSpaceDE w:val="0"/>
        <w:autoSpaceDN w:val="0"/>
        <w:spacing w:before="0" w:beforeLines="0" w:after="120" w:line="240" w:lineRule="auto"/>
        <w:rPr>
          <w:rFonts w:hint="eastAsia"/>
          <w:lang w:val="en-US" w:eastAsia="zh-CN"/>
        </w:rPr>
      </w:pPr>
      <w:r>
        <w:rPr>
          <w:rFonts w:hint="eastAsia"/>
        </w:rPr>
        <w:t>In the current specification, the UE can be configured with multiple SRS resource sets. Wherein, each SRS resource set may be configured with different uplink power control parameters, spatial domain parameters and frequency hopping parameters, respectively. Considering that the gNB Rx antenna configurations in the SBFD and non-SBFD slots may be different, and the interference suffered by the gNB side is different, different UL power control parameters, spatial domain parameters, and frequency hopping parameters can be provided for SRS transmissions on the SBFD and non-SBFD 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o ensure that the SRS transmission are within the UL usable PRBs, different frequency hopping parameters should be provided for SRS transmissions in the SBFD and non-SBFD slots, respectively. Therefore, separate sets of SRS resources associated with SBFD slots and non-SBFD slots can be configured to enable two SRS transmissions on SBFD slots only and non-SBFD slots only.</w:t>
      </w:r>
    </w:p>
    <w:p>
      <w:pPr>
        <w:spacing w:before="0" w:beforeLines="0" w:after="120" w:line="240" w:lineRule="auto"/>
        <w:rPr>
          <w:i/>
        </w:rPr>
      </w:pPr>
      <w:r>
        <w:rPr>
          <w:rFonts w:hint="eastAsia"/>
          <w:b/>
          <w:i/>
          <w:lang w:val="en-US" w:eastAsia="zh-CN"/>
        </w:rPr>
        <w:t>Proposal</w:t>
      </w:r>
      <w:r>
        <w:rPr>
          <w:b/>
          <w:i/>
        </w:rPr>
        <w:t xml:space="preserve"> </w:t>
      </w:r>
      <w:r>
        <w:rPr>
          <w:rFonts w:hint="eastAsia"/>
          <w:b/>
          <w:i/>
          <w:lang w:val="en-US" w:eastAsia="zh-CN"/>
        </w:rPr>
        <w:t>5</w:t>
      </w:r>
      <w:r>
        <w:rPr>
          <w:i/>
        </w:rPr>
        <w:t xml:space="preserve">: </w:t>
      </w:r>
      <w:r>
        <w:rPr>
          <w:rFonts w:hint="eastAsia"/>
          <w:b/>
          <w:bCs/>
          <w:i/>
          <w:lang w:val="en-US" w:eastAsia="zh-CN"/>
        </w:rPr>
        <w:t>S</w:t>
      </w:r>
      <w:r>
        <w:rPr>
          <w:rFonts w:hint="eastAsia"/>
          <w:b/>
          <w:bCs/>
          <w:i/>
        </w:rPr>
        <w:t>eparate sets of SRS resources associated with SBFD slots and non-SBFD slots can be configured to enable two SRS transmissions on SBFD slots only and non-SBFD slots only</w:t>
      </w:r>
      <w:r>
        <w:rPr>
          <w:b/>
          <w:bCs/>
          <w:i/>
        </w:rPr>
        <w:t>.</w:t>
      </w:r>
    </w:p>
    <w:p>
      <w:pPr>
        <w:spacing w:before="0" w:beforeLines="0" w:after="120" w:line="240" w:lineRule="auto"/>
      </w:pPr>
    </w:p>
    <w:p>
      <w:pPr>
        <w:pStyle w:val="55"/>
        <w:numPr>
          <w:ilvl w:val="0"/>
          <w:numId w:val="10"/>
        </w:numPr>
        <w:spacing w:before="0" w:beforeLines="0" w:after="120" w:line="240" w:lineRule="auto"/>
        <w:ind w:firstLineChars="0"/>
      </w:pPr>
      <w:r>
        <w:rPr>
          <w:b/>
        </w:rPr>
        <w:t>Configurations for PUCCH</w:t>
      </w:r>
    </w:p>
    <w:p>
      <w:pPr>
        <w:widowControl/>
        <w:autoSpaceDE w:val="0"/>
        <w:autoSpaceDN w:val="0"/>
        <w:spacing w:before="0" w:beforeLines="0" w:after="120" w:line="240" w:lineRule="auto"/>
      </w:pPr>
      <w:r>
        <w:rPr>
          <w:rFonts w:hint="eastAsia"/>
        </w:rPr>
        <w:t xml:space="preserve">In the current specification, </w:t>
      </w:r>
      <w:r>
        <w:rPr>
          <w:rFonts w:hint="eastAsia"/>
          <w:lang w:val="en-US" w:eastAsia="zh-CN"/>
        </w:rPr>
        <w:t xml:space="preserve">similar to SRS resource set configuration, </w:t>
      </w:r>
      <w:r>
        <w:rPr>
          <w:rFonts w:hint="eastAsia"/>
        </w:rPr>
        <w:t xml:space="preserve">the UE can be configured with multiple </w:t>
      </w:r>
      <w:r>
        <w:rPr>
          <w:rFonts w:hint="eastAsia"/>
          <w:lang w:val="en-US" w:eastAsia="zh-CN"/>
        </w:rPr>
        <w:t>PUCCH</w:t>
      </w:r>
      <w:r>
        <w:rPr>
          <w:rFonts w:hint="eastAsia"/>
        </w:rPr>
        <w:t xml:space="preserve"> resource sets. Wherein, each </w:t>
      </w:r>
      <w:r>
        <w:rPr>
          <w:rFonts w:hint="eastAsia"/>
          <w:lang w:val="en-US" w:eastAsia="zh-CN"/>
        </w:rPr>
        <w:t>PUCCH</w:t>
      </w:r>
      <w:r>
        <w:rPr>
          <w:rFonts w:hint="eastAsia"/>
        </w:rPr>
        <w:t xml:space="preserve"> resource set may be configured with different uplink power control parameters, </w:t>
      </w:r>
      <w:r>
        <w:rPr>
          <w:rFonts w:hint="eastAsia"/>
          <w:lang w:val="en-US" w:eastAsia="zh-CN"/>
        </w:rPr>
        <w:t xml:space="preserve">and </w:t>
      </w:r>
      <w:r>
        <w:rPr>
          <w:rFonts w:hint="eastAsia"/>
        </w:rPr>
        <w:t xml:space="preserve">spatial domain parameters, respectively. Considering that the gNB Rx antenna configurations in the SBFD and non-SBFD slots may be different, and the interference suffered by the gNB side is different, different UL power control parameters, </w:t>
      </w:r>
      <w:r>
        <w:rPr>
          <w:rFonts w:hint="eastAsia"/>
          <w:lang w:val="en-US" w:eastAsia="zh-CN"/>
        </w:rPr>
        <w:t xml:space="preserve">and </w:t>
      </w:r>
      <w:r>
        <w:rPr>
          <w:rFonts w:hint="eastAsia"/>
        </w:rPr>
        <w:t xml:space="preserve">spatial domain parameters, can be provided for </w:t>
      </w:r>
      <w:r>
        <w:rPr>
          <w:rFonts w:hint="eastAsia"/>
          <w:lang w:val="en-US" w:eastAsia="zh-CN"/>
        </w:rPr>
        <w:t>PUCCH</w:t>
      </w:r>
      <w:r>
        <w:rPr>
          <w:rFonts w:hint="eastAsia"/>
        </w:rPr>
        <w:t xml:space="preserve"> transmissions on the SBFD and non-SBFD 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 xml:space="preserve">o ensure that the </w:t>
      </w:r>
      <w:r>
        <w:rPr>
          <w:rFonts w:hint="eastAsia"/>
          <w:lang w:val="en-US" w:eastAsia="zh-CN"/>
        </w:rPr>
        <w:t>PUCCH</w:t>
      </w:r>
      <w:r>
        <w:rPr>
          <w:rFonts w:hint="eastAsia"/>
        </w:rPr>
        <w:t xml:space="preserve"> transmission are within the UL usable PRBs, different frequency hopping parameters should be provided for </w:t>
      </w:r>
      <w:r>
        <w:rPr>
          <w:rFonts w:hint="eastAsia"/>
          <w:lang w:val="en-US" w:eastAsia="zh-CN"/>
        </w:rPr>
        <w:t>PUCCH</w:t>
      </w:r>
      <w:r>
        <w:rPr>
          <w:rFonts w:hint="eastAsia"/>
        </w:rPr>
        <w:t xml:space="preserve"> transmissions in the SBFD and non-SBFD slots, respectively. Therefore, separate sets of </w:t>
      </w:r>
      <w:r>
        <w:rPr>
          <w:rFonts w:hint="eastAsia"/>
          <w:lang w:val="en-US" w:eastAsia="zh-CN"/>
        </w:rPr>
        <w:t>PUCCH</w:t>
      </w:r>
      <w:r>
        <w:rPr>
          <w:rFonts w:hint="eastAsia"/>
        </w:rPr>
        <w:t xml:space="preserve"> resources associated with SBFD slots and non-SBFD slots can be configured to enable two </w:t>
      </w:r>
      <w:r>
        <w:rPr>
          <w:rFonts w:hint="eastAsia"/>
          <w:lang w:val="en-US" w:eastAsia="zh-CN"/>
        </w:rPr>
        <w:t>PUCCH</w:t>
      </w:r>
      <w:r>
        <w:rPr>
          <w:rFonts w:hint="eastAsia"/>
        </w:rPr>
        <w:t xml:space="preserve"> transmissions on SBFD slots only and non-SBFD slots only.</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6</w:t>
      </w:r>
      <w:r>
        <w:rPr>
          <w:i/>
        </w:rPr>
        <w:t xml:space="preserve">: </w:t>
      </w:r>
      <w:r>
        <w:rPr>
          <w:rFonts w:hint="eastAsia"/>
          <w:b/>
          <w:bCs/>
          <w:i/>
          <w:lang w:val="en-US" w:eastAsia="zh-CN"/>
        </w:rPr>
        <w:t>S</w:t>
      </w:r>
      <w:r>
        <w:rPr>
          <w:rFonts w:hint="eastAsia"/>
          <w:b/>
          <w:bCs/>
          <w:i/>
        </w:rPr>
        <w:t xml:space="preserve">eparate sets of </w:t>
      </w:r>
      <w:r>
        <w:rPr>
          <w:rFonts w:hint="eastAsia"/>
          <w:b/>
          <w:bCs/>
          <w:i/>
          <w:lang w:val="en-US" w:eastAsia="zh-CN"/>
        </w:rPr>
        <w:t>PUCCH</w:t>
      </w:r>
      <w:r>
        <w:rPr>
          <w:rFonts w:hint="eastAsia"/>
          <w:b/>
          <w:bCs/>
          <w:i/>
        </w:rPr>
        <w:t xml:space="preserve"> resources associated with SBFD slots and non-SBFD slots can be configured to enable two </w:t>
      </w:r>
      <w:r>
        <w:rPr>
          <w:rFonts w:hint="eastAsia"/>
          <w:b/>
          <w:bCs/>
          <w:i/>
          <w:lang w:val="en-US" w:eastAsia="zh-CN"/>
        </w:rPr>
        <w:t>PUCCH</w:t>
      </w:r>
      <w:r>
        <w:rPr>
          <w:rFonts w:hint="eastAsia"/>
          <w:b/>
          <w:bCs/>
          <w:i/>
        </w:rPr>
        <w:t xml:space="preserve"> transmissions on SBFD slots only and non-SBFD slots only</w:t>
      </w:r>
      <w:r>
        <w:rPr>
          <w:b/>
          <w:bCs/>
          <w:i/>
        </w:rPr>
        <w:t>.</w:t>
      </w:r>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Tx/Rx occasion mapped to SBFD and non-SBFD symbols within a slot</w:t>
      </w:r>
    </w:p>
    <w:p>
      <w:pPr>
        <w:spacing w:beforeLines="0"/>
        <w:rPr>
          <w:rFonts w:hint="default" w:eastAsia="宋体"/>
          <w:lang w:val="en-US" w:eastAsia="zh-CN"/>
        </w:rPr>
      </w:pPr>
      <w:r>
        <w:rPr>
          <w:rFonts w:hint="eastAsia" w:eastAsia="宋体"/>
          <w:lang w:val="en-US" w:eastAsia="zh-CN"/>
        </w:rPr>
        <w:t>In last meeting,</w:t>
      </w:r>
      <w:r>
        <w:rPr>
          <w:rFonts w:hint="eastAsia"/>
          <w:lang w:val="en-US" w:eastAsia="zh-CN"/>
        </w:rPr>
        <w:t xml:space="preserve"> the following agreement was achieved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Malgun Gothic" w:cs="Times New Roman"/>
                <w:sz w:val="22"/>
                <w:szCs w:val="22"/>
                <w:lang w:val="en-GB"/>
              </w:rPr>
              <w:t>For UL transmissions and DL receptions across SBFD symbols and non-SBFD symbols in different slots (each transmission/reception within a slot has either all SBFD or all non-SBFD symbols)</w:t>
            </w:r>
            <w:r>
              <w:rPr>
                <w:rFonts w:hint="eastAsia" w:ascii="Times" w:hAnsi="Times" w:eastAsia="等线" w:cs="Times New Roman"/>
                <w:sz w:val="22"/>
                <w:szCs w:val="22"/>
                <w:lang w:val="en-GB" w:eastAsia="zh-CN"/>
              </w:rPr>
              <w:t xml:space="preserve"> for an SBFD aware UE, the </w:t>
            </w:r>
            <w:r>
              <w:rPr>
                <w:rFonts w:hint="eastAsia" w:ascii="Times" w:hAnsi="Times" w:eastAsia="Malgun Gothic" w:cs="Times New Roman"/>
                <w:sz w:val="22"/>
                <w:szCs w:val="22"/>
                <w:lang w:val="en-GB"/>
              </w:rPr>
              <w:t>SBFD-aware UE</w:t>
            </w:r>
            <w:r>
              <w:rPr>
                <w:rFonts w:hint="eastAsia" w:ascii="Times" w:hAnsi="Times" w:eastAsia="等线" w:cs="Times New Roman"/>
                <w:sz w:val="22"/>
                <w:szCs w:val="22"/>
                <w:lang w:val="en-GB" w:eastAsia="zh-CN"/>
              </w:rPr>
              <w:t xml:space="preserve"> is </w:t>
            </w:r>
            <w:r>
              <w:rPr>
                <w:rFonts w:hint="eastAsia" w:ascii="Times" w:hAnsi="Times" w:eastAsia="等线" w:cs="Times New Roman"/>
                <w:b/>
                <w:sz w:val="22"/>
                <w:szCs w:val="22"/>
                <w:lang w:val="en-GB" w:eastAsia="zh-CN"/>
              </w:rPr>
              <w:t>provided</w:t>
            </w:r>
            <w:r>
              <w:rPr>
                <w:rFonts w:hint="eastAsia" w:ascii="Times" w:hAnsi="Times" w:eastAsia="等线" w:cs="Times New Roman"/>
                <w:sz w:val="22"/>
                <w:szCs w:val="22"/>
                <w:lang w:val="en-GB" w:eastAsia="zh-CN"/>
              </w:rPr>
              <w:t xml:space="preserve"> with one of the configurations.</w:t>
            </w:r>
          </w:p>
          <w:p>
            <w:pPr>
              <w:keepNext w:val="0"/>
              <w:keepLines w:val="0"/>
              <w:widowControl w:val="0"/>
              <w:numPr>
                <w:ilvl w:val="1"/>
                <w:numId w:val="14"/>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1: The transmissions/receptions are restricted to SBFD symbols only or non-SBFD symbols only</w:t>
            </w:r>
          </w:p>
          <w:p>
            <w:pPr>
              <w:keepNext w:val="0"/>
              <w:keepLines w:val="0"/>
              <w:widowControl w:val="0"/>
              <w:numPr>
                <w:ilvl w:val="1"/>
                <w:numId w:val="14"/>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2: The transmissions/receptions can be in SBFD symbols and non-SBFD symbols</w:t>
            </w:r>
          </w:p>
          <w:p>
            <w:pPr>
              <w:keepNext w:val="0"/>
              <w:keepLines w:val="0"/>
              <w:widowControl w:val="0"/>
              <w:numPr>
                <w:ilvl w:val="1"/>
                <w:numId w:val="14"/>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FFS granularity of the configuration, e.g. per UE, per channel/signal etc.</w:t>
            </w:r>
          </w:p>
          <w:p>
            <w:pPr>
              <w:keepNext w:val="0"/>
              <w:keepLines w:val="0"/>
              <w:widowControl w:val="0"/>
              <w:numPr>
                <w:ilvl w:val="1"/>
                <w:numId w:val="14"/>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FFS whether support of configuration 2 is subject to UE capability</w:t>
            </w:r>
          </w:p>
          <w:p>
            <w:pPr>
              <w:keepNext w:val="0"/>
              <w:keepLines w:val="0"/>
              <w:widowControl w:val="0"/>
              <w:suppressLineNumbers w:val="0"/>
              <w:spacing w:before="0" w:beforeAutospacing="0" w:afterAutospacing="0"/>
              <w:ind w:left="0" w:right="0"/>
              <w:rPr>
                <w:rFonts w:hint="eastAsia" w:eastAsia="바탕"/>
                <w:vertAlign w:val="baseline"/>
                <w:lang w:val="en-US" w:eastAsia="ko-KR"/>
              </w:rPr>
            </w:pPr>
          </w:p>
        </w:tc>
      </w:tr>
    </w:tbl>
    <w:p>
      <w:pPr>
        <w:rPr>
          <w:rFonts w:eastAsia="바탕"/>
          <w:lang w:val="en-US" w:eastAsia="ko-KR"/>
        </w:rPr>
      </w:pPr>
    </w:p>
    <w:p>
      <w:pPr>
        <w:rPr>
          <w:rFonts w:eastAsia="바탕"/>
          <w:lang w:val="en-US" w:eastAsia="ko-KR"/>
        </w:rPr>
      </w:pPr>
      <w:r>
        <w:rPr>
          <w:rFonts w:hint="default" w:eastAsia="바탕"/>
          <w:lang w:val="en-US" w:eastAsia="ko-KR"/>
        </w:rPr>
        <w:t xml:space="preserve">Considering the </w:t>
      </w:r>
      <w:r>
        <w:rPr>
          <w:rFonts w:hint="eastAsia" w:eastAsia="宋体"/>
          <w:lang w:val="en-US" w:eastAsia="zh-CN"/>
        </w:rPr>
        <w:t xml:space="preserve">limited </w:t>
      </w:r>
      <w:r>
        <w:rPr>
          <w:rFonts w:hint="default" w:eastAsia="바탕"/>
          <w:lang w:val="en-US" w:eastAsia="ko-KR"/>
        </w:rPr>
        <w:t xml:space="preserve">capability of the </w:t>
      </w:r>
      <w:r>
        <w:rPr>
          <w:rFonts w:hint="eastAsia" w:eastAsia="宋体"/>
          <w:lang w:val="en-US" w:eastAsia="zh-CN"/>
        </w:rPr>
        <w:t>UEs</w:t>
      </w:r>
      <w:r>
        <w:rPr>
          <w:rFonts w:hint="default" w:eastAsia="바탕"/>
          <w:lang w:val="en-US" w:eastAsia="ko-KR"/>
        </w:rPr>
        <w:t xml:space="preserve">, some of which cannot assume phase continuity between SBFD symbols and non-SBFD symbols, it is desirable that the symbols for </w:t>
      </w:r>
      <w:r>
        <w:rPr>
          <w:rFonts w:hint="eastAsia" w:eastAsia="宋体"/>
          <w:lang w:val="en-US" w:eastAsia="zh-CN"/>
        </w:rPr>
        <w:t>transmissions/receptions</w:t>
      </w:r>
      <w:r>
        <w:rPr>
          <w:rFonts w:hint="default" w:eastAsia="바탕"/>
          <w:lang w:val="en-US" w:eastAsia="ko-KR"/>
        </w:rPr>
        <w:t xml:space="preserve"> should be </w:t>
      </w:r>
      <w:r>
        <w:rPr>
          <w:rFonts w:hint="eastAsia" w:eastAsia="宋体"/>
          <w:lang w:val="en-US" w:eastAsia="zh-CN"/>
        </w:rPr>
        <w:t xml:space="preserve">restricted to </w:t>
      </w:r>
      <w:r>
        <w:rPr>
          <w:rFonts w:hint="default" w:eastAsia="바탕"/>
          <w:lang w:val="en-US" w:eastAsia="ko-KR"/>
        </w:rPr>
        <w:t>either all the SBFD symbols or all the non-SBFD symbols within slot.</w:t>
      </w:r>
      <w:r>
        <w:rPr>
          <w:rFonts w:hint="eastAsia" w:eastAsia="宋体"/>
          <w:lang w:val="en-US" w:eastAsia="zh-CN"/>
        </w:rPr>
        <w:t xml:space="preserve"> To ensure this, </w:t>
      </w:r>
      <w:bookmarkStart w:id="9" w:name="OLE_LINK16"/>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bookmarkEnd w:id="9"/>
      <w:r>
        <w:rPr>
          <w:rFonts w:eastAsia="바탕"/>
          <w:lang w:val="en-US" w:eastAsia="ko-KR"/>
        </w:rPr>
        <w:t>.</w:t>
      </w:r>
    </w:p>
    <w:p>
      <w:pPr>
        <w:numPr>
          <w:ilvl w:val="0"/>
          <w:numId w:val="15"/>
        </w:numPr>
        <w:ind w:left="420" w:hanging="420"/>
        <w:rPr>
          <w:rFonts w:hint="default" w:eastAsia="바탕"/>
          <w:lang w:val="en-US" w:eastAsia="zh-CN"/>
        </w:rPr>
      </w:pPr>
      <w:r>
        <w:rPr>
          <w:rFonts w:hint="default" w:eastAsia="바탕"/>
          <w:lang w:val="en-US" w:eastAsia="zh-CN"/>
        </w:rPr>
        <w:t>For PDCCH, PDSCH, CSI-RS, PUSCH, PUCCH, and SRS, the UE does not perform physical channel/signal transmission/reception in the slot if the time domain resources allocated in the slot contain both SBFD symbols and non-SBFD symbols.</w:t>
      </w:r>
    </w:p>
    <w:p>
      <w:pPr>
        <w:numPr>
          <w:ilvl w:val="0"/>
          <w:numId w:val="15"/>
        </w:numPr>
        <w:ind w:left="420" w:hanging="420"/>
        <w:rPr>
          <w:rFonts w:hint="default" w:eastAsia="바탕"/>
          <w:lang w:val="en-US" w:eastAsia="zh-CN"/>
        </w:rPr>
      </w:pPr>
      <w:r>
        <w:rPr>
          <w:rFonts w:hint="eastAsia" w:eastAsia="바탕"/>
          <w:lang w:val="en-US" w:eastAsia="zh-CN"/>
        </w:rPr>
        <w:t>For PUSCH</w:t>
      </w:r>
      <w:r>
        <w:rPr>
          <w:rFonts w:eastAsia="바탕"/>
          <w:lang w:val="en-US" w:eastAsia="ko-KR"/>
        </w:rPr>
        <w:t xml:space="preserve"> repetition type B</w:t>
      </w:r>
      <w:r>
        <w:rPr>
          <w:rFonts w:hint="eastAsia" w:eastAsia="宋体"/>
          <w:lang w:val="en-US" w:eastAsia="zh-CN"/>
        </w:rPr>
        <w:t xml:space="preserve">, </w:t>
      </w:r>
      <w:r>
        <w:rPr>
          <w:rFonts w:hint="eastAsia" w:eastAsia="바탕"/>
          <w:lang w:val="en-US" w:eastAsia="ko-KR"/>
        </w:rPr>
        <w:t>it is desirable to use as many symbols as possible in the PUSCH transmission, considering that it is used for delay purposes.</w:t>
      </w:r>
      <w:r>
        <w:rPr>
          <w:rFonts w:hint="default" w:eastAsia="바탕"/>
          <w:lang w:val="en-US" w:eastAsia="zh-CN"/>
        </w:rPr>
        <w:t xml:space="preserve"> </w:t>
      </w:r>
      <w:r>
        <w:rPr>
          <w:rFonts w:hint="eastAsia" w:eastAsia="바탕"/>
          <w:lang w:val="en-US" w:eastAsia="zh-CN"/>
        </w:rPr>
        <w:t>T</w:t>
      </w:r>
      <w:r>
        <w:rPr>
          <w:rFonts w:hint="default" w:eastAsia="바탕"/>
          <w:lang w:val="en-US" w:eastAsia="zh-CN"/>
        </w:rPr>
        <w:t xml:space="preserve">here is only one configuration of </w:t>
      </w:r>
      <w:bookmarkStart w:id="10" w:name="OLE_LINK15"/>
      <w:r>
        <w:rPr>
          <w:rFonts w:hint="default" w:eastAsia="바탕"/>
          <w:lang w:val="en-US" w:eastAsia="zh-CN"/>
        </w:rPr>
        <w:t>the PUSCH</w:t>
      </w:r>
      <w:r>
        <w:rPr>
          <w:rFonts w:hint="eastAsia" w:eastAsia="바탕"/>
          <w:lang w:val="en-US" w:eastAsia="zh-CN"/>
        </w:rPr>
        <w:t xml:space="preserve"> repetition</w:t>
      </w:r>
      <w:r>
        <w:rPr>
          <w:rFonts w:hint="default" w:eastAsia="바탕"/>
          <w:lang w:val="en-US" w:eastAsia="zh-CN"/>
        </w:rPr>
        <w:t xml:space="preserve"> type B</w:t>
      </w:r>
      <w:bookmarkEnd w:id="10"/>
      <w:r>
        <w:rPr>
          <w:rFonts w:hint="default" w:eastAsia="바탕"/>
          <w:lang w:val="en-US" w:eastAsia="zh-CN"/>
        </w:rPr>
        <w:t xml:space="preserve"> </w:t>
      </w:r>
      <w:r>
        <w:rPr>
          <w:rFonts w:hint="eastAsia" w:eastAsia="바탕"/>
          <w:lang w:val="en-US" w:eastAsia="zh-CN"/>
        </w:rPr>
        <w:t>for a UE</w:t>
      </w:r>
      <w:r>
        <w:rPr>
          <w:rFonts w:hint="default" w:eastAsia="바탕"/>
          <w:lang w:val="en-US" w:eastAsia="zh-CN"/>
        </w:rPr>
        <w:t>, and if the PUSCH transmission</w:t>
      </w:r>
      <w:r>
        <w:rPr>
          <w:rFonts w:hint="eastAsia" w:eastAsia="바탕"/>
          <w:lang w:val="en-US" w:eastAsia="zh-CN"/>
        </w:rPr>
        <w:t xml:space="preserve"> with repetition</w:t>
      </w:r>
      <w:r>
        <w:rPr>
          <w:rFonts w:hint="default" w:eastAsia="바탕"/>
          <w:lang w:val="en-US" w:eastAsia="zh-CN"/>
        </w:rPr>
        <w:t xml:space="preserve"> type B is transmitted at both the SBFD symbol and the non-SBFD symbol, and the </w:t>
      </w:r>
      <w:r>
        <w:rPr>
          <w:rFonts w:hint="eastAsia" w:eastAsia="바탕"/>
          <w:lang w:val="en-US" w:eastAsia="zh-CN"/>
        </w:rPr>
        <w:t>UE</w:t>
      </w:r>
      <w:r>
        <w:rPr>
          <w:rFonts w:hint="default" w:eastAsia="바탕"/>
          <w:lang w:val="en-US" w:eastAsia="zh-CN"/>
        </w:rPr>
        <w:t xml:space="preserve"> cannot ensure phase continuity between the symbols, the reception performance of the PUSCH</w:t>
      </w:r>
      <w:r>
        <w:rPr>
          <w:rFonts w:hint="eastAsia" w:eastAsia="바탕"/>
          <w:lang w:val="en-US" w:eastAsia="zh-CN"/>
        </w:rPr>
        <w:t xml:space="preserve"> repetition</w:t>
      </w:r>
      <w:r>
        <w:rPr>
          <w:rFonts w:hint="default" w:eastAsia="바탕"/>
          <w:lang w:val="en-US" w:eastAsia="zh-CN"/>
        </w:rPr>
        <w:t xml:space="preserve"> type B in the SBFD symbol and the non-SBFD symbol will be affected.</w:t>
      </w:r>
      <w:r>
        <w:rPr>
          <w:rFonts w:hint="eastAsia" w:eastAsia="바탕"/>
          <w:lang w:val="en-US" w:eastAsia="zh-CN"/>
        </w:rPr>
        <w:t xml:space="preserve"> In this case, </w:t>
      </w:r>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r>
        <w:rPr>
          <w:rFonts w:hint="eastAsia" w:eastAsia="宋体"/>
          <w:lang w:val="en-US" w:eastAsia="zh-CN"/>
        </w:rPr>
        <w:t>:</w:t>
      </w:r>
    </w:p>
    <w:p>
      <w:pPr>
        <w:numPr>
          <w:ilvl w:val="1"/>
          <w:numId w:val="15"/>
        </w:numPr>
        <w:ind w:left="840" w:hanging="420"/>
        <w:rPr>
          <w:rFonts w:hint="default" w:eastAsia="바탕"/>
          <w:lang w:val="en-US" w:eastAsia="zh-CN"/>
        </w:rPr>
      </w:pPr>
      <w:bookmarkStart w:id="11" w:name="OLE_LINK17"/>
      <w:r>
        <w:rPr>
          <w:rFonts w:hint="eastAsia" w:eastAsia="바탕"/>
          <w:lang w:val="en-US" w:eastAsia="zh-CN"/>
        </w:rPr>
        <w:t>If a particular PUSCH nominal repetition includes both SBFD symbols and non-SBFD symbols,</w:t>
      </w:r>
      <w:bookmarkEnd w:id="11"/>
      <w:r>
        <w:rPr>
          <w:rFonts w:hint="eastAsia" w:eastAsia="바탕"/>
          <w:lang w:val="en-US" w:eastAsia="zh-CN"/>
        </w:rPr>
        <w:t xml:space="preserve"> it can be assumed that the UE divides the nominal repetition into actual repetitions based on the boundary between the SBFD symbols and the non-SBFD symbols.</w:t>
      </w:r>
    </w:p>
    <w:p>
      <w:pPr>
        <w:numPr>
          <w:ilvl w:val="1"/>
          <w:numId w:val="15"/>
        </w:numPr>
        <w:ind w:left="840" w:hanging="420"/>
        <w:rPr>
          <w:rFonts w:hint="default" w:eastAsia="바탕"/>
          <w:lang w:val="en-US" w:eastAsia="zh-CN"/>
        </w:rPr>
      </w:pPr>
      <w:r>
        <w:rPr>
          <w:rFonts w:hint="eastAsia" w:eastAsia="바탕"/>
          <w:lang w:val="en-US" w:eastAsia="zh-CN"/>
        </w:rPr>
        <w:t>If a particular PUSCH nominal repetition includes both SBFD symbols and non-SBFD symbols,  one of these types of symbols is considered invalid, e.g., the SBFD symbols are treated as valid symbols and the non-SBFDs are made invalid symbols.</w:t>
      </w:r>
    </w:p>
    <w:p>
      <w:pPr>
        <w:spacing w:before="0" w:beforeLines="0" w:after="120" w:line="240" w:lineRule="auto"/>
        <w:rPr>
          <w:rFonts w:hint="default"/>
          <w:b/>
          <w:i/>
          <w:lang w:val="en-US" w:eastAsia="zh-CN"/>
        </w:rPr>
      </w:pPr>
      <w:bookmarkStart w:id="12" w:name="OLE_LINK19"/>
      <w:r>
        <w:rPr>
          <w:rFonts w:hint="default"/>
          <w:b/>
          <w:i/>
          <w:lang w:val="en-US" w:eastAsia="zh-CN"/>
        </w:rPr>
        <w:t xml:space="preserve">Proposal </w:t>
      </w:r>
      <w:r>
        <w:rPr>
          <w:rFonts w:hint="eastAsia"/>
          <w:b/>
          <w:i/>
          <w:lang w:val="en-US" w:eastAsia="zh-CN"/>
        </w:rPr>
        <w:t>7</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6"/>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6"/>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bookmarkEnd w:id="12"/>
    <w:p>
      <w:pPr>
        <w:spacing w:before="120" w:beforeLines="50"/>
        <w:rPr>
          <w:rFonts w:hint="default" w:ascii="Times" w:hAnsi="Times" w:eastAsia="Malgun Gothic"/>
          <w:lang w:val="en-US" w:eastAsia="zh-CN"/>
        </w:rPr>
      </w:pPr>
    </w:p>
    <w:p>
      <w:pPr>
        <w:pStyle w:val="2"/>
      </w:pPr>
      <w:r>
        <w:rPr>
          <w:lang w:eastAsia="ko-KR"/>
        </w:rPr>
        <w:t>CSI measurements and reporting</w:t>
      </w:r>
    </w:p>
    <w:p>
      <w:pPr>
        <w:rPr>
          <w:szCs w:val="16"/>
          <w:lang w:val="en-GB" w:eastAsia="ko-KR"/>
        </w:rPr>
      </w:pPr>
      <w:r>
        <w:rPr>
          <w:szCs w:val="16"/>
          <w:lang w:val="en-GB" w:eastAsia="ko-KR"/>
        </w:rPr>
        <w:t xml:space="preserve">Regarding the CSI </w:t>
      </w:r>
      <w:r>
        <w:rPr>
          <w:rFonts w:hint="eastAsia"/>
          <w:szCs w:val="16"/>
          <w:lang w:val="en-US" w:eastAsia="zh-CN"/>
        </w:rPr>
        <w:t xml:space="preserve">measurements and </w:t>
      </w:r>
      <w:r>
        <w:rPr>
          <w:szCs w:val="16"/>
          <w:lang w:val="en-GB" w:eastAsia="ko-KR"/>
        </w:rPr>
        <w:t xml:space="preserve">reporting, when CSI </w:t>
      </w:r>
      <w:r>
        <w:rPr>
          <w:rFonts w:hint="eastAsia"/>
          <w:szCs w:val="16"/>
          <w:lang w:val="en-US" w:eastAsia="zh-CN"/>
        </w:rPr>
        <w:t>r</w:t>
      </w:r>
      <w:r>
        <w:rPr>
          <w:szCs w:val="16"/>
          <w:lang w:val="en-GB" w:eastAsia="ko-KR"/>
        </w:rPr>
        <w:t xml:space="preserve">eport is associated with </w:t>
      </w:r>
      <w:r>
        <w:rPr>
          <w:rFonts w:hint="eastAsia"/>
          <w:szCs w:val="16"/>
          <w:lang w:val="en-US" w:eastAsia="zh-CN"/>
        </w:rPr>
        <w:t>periodic</w:t>
      </w:r>
      <w:r>
        <w:rPr>
          <w:szCs w:val="16"/>
          <w:lang w:val="en-GB" w:eastAsia="ko-KR"/>
        </w:rPr>
        <w:t>/</w:t>
      </w:r>
      <w:r>
        <w:rPr>
          <w:rFonts w:hint="eastAsia"/>
          <w:szCs w:val="16"/>
          <w:lang w:val="en-US" w:eastAsia="zh-CN"/>
        </w:rPr>
        <w:t>semi-persistent</w:t>
      </w:r>
      <w:r>
        <w:rPr>
          <w:szCs w:val="16"/>
          <w:lang w:val="en-GB" w:eastAsia="ko-KR"/>
        </w:rPr>
        <w:t xml:space="preserve"> CSI-RS, based on </w:t>
      </w:r>
      <w:r>
        <w:rPr>
          <w:rFonts w:hint="eastAsia"/>
          <w:szCs w:val="16"/>
          <w:lang w:val="en-US" w:eastAsia="zh-CN"/>
        </w:rPr>
        <w:t xml:space="preserve">the </w:t>
      </w:r>
      <w:r>
        <w:rPr>
          <w:szCs w:val="16"/>
          <w:lang w:val="en-GB" w:eastAsia="ko-KR"/>
        </w:rPr>
        <w:t>outcome of</w:t>
      </w:r>
      <w:r>
        <w:rPr>
          <w:rFonts w:hint="eastAsia"/>
          <w:szCs w:val="16"/>
          <w:lang w:val="en-US" w:eastAsia="zh-CN"/>
        </w:rPr>
        <w:t xml:space="preserve"> the</w:t>
      </w:r>
      <w:r>
        <w:rPr>
          <w:szCs w:val="16"/>
          <w:lang w:val="en-GB" w:eastAsia="ko-KR"/>
        </w:rPr>
        <w:t xml:space="preserve"> </w:t>
      </w:r>
      <w:r>
        <w:rPr>
          <w:rFonts w:hint="eastAsia"/>
          <w:szCs w:val="16"/>
          <w:lang w:val="en-US" w:eastAsia="zh-CN"/>
        </w:rPr>
        <w:t>RAN1#</w:t>
      </w:r>
      <w:r>
        <w:rPr>
          <w:szCs w:val="16"/>
          <w:lang w:val="en-GB" w:eastAsia="ko-KR"/>
        </w:rPr>
        <w:t>1</w:t>
      </w:r>
      <w:r>
        <w:rPr>
          <w:rFonts w:hint="eastAsia"/>
          <w:szCs w:val="16"/>
          <w:lang w:val="en-US" w:eastAsia="zh-CN"/>
        </w:rPr>
        <w:t>17</w:t>
      </w:r>
      <w:r>
        <w:rPr>
          <w:szCs w:val="16"/>
          <w:lang w:val="en-GB" w:eastAsia="ko-KR"/>
        </w:rPr>
        <w:t xml:space="preserve"> </w:t>
      </w:r>
      <w:r>
        <w:rPr>
          <w:rFonts w:hint="eastAsia"/>
          <w:szCs w:val="16"/>
          <w:lang w:val="en-US" w:eastAsia="zh-CN"/>
        </w:rPr>
        <w:t>meeting</w:t>
      </w:r>
      <w:r>
        <w:rPr>
          <w:szCs w:val="16"/>
          <w:lang w:val="en-GB" w:eastAsia="ko-KR"/>
        </w:rPr>
        <w:t xml:space="preserve">, </w:t>
      </w:r>
      <w:r>
        <w:rPr>
          <w:rFonts w:hint="eastAsia"/>
          <w:szCs w:val="16"/>
          <w:lang w:val="en-US" w:eastAsia="zh-CN"/>
        </w:rPr>
        <w:t>two</w:t>
      </w:r>
      <w:r>
        <w:rPr>
          <w:szCs w:val="16"/>
          <w:lang w:val="en-GB" w:eastAsia="ko-KR"/>
        </w:rPr>
        <w:t xml:space="preserve"> options were listed</w:t>
      </w:r>
      <w:r>
        <w:rPr>
          <w:rFonts w:hint="eastAsia"/>
          <w:szCs w:val="16"/>
          <w:lang w:val="en-US" w:eastAsia="zh-CN"/>
        </w:rPr>
        <w:t>:</w:t>
      </w:r>
      <w:r>
        <w:rPr>
          <w:szCs w:val="16"/>
          <w:lang w:val="en-GB" w:eastAsia="ko-KR"/>
        </w:rPr>
        <w:t xml:space="preserve"> whether </w:t>
      </w:r>
      <w:r>
        <w:rPr>
          <w:rFonts w:hint="eastAsia"/>
          <w:szCs w:val="16"/>
          <w:lang w:val="en-US" w:eastAsia="zh-CN"/>
        </w:rPr>
        <w:t xml:space="preserve">to use </w:t>
      </w:r>
      <w:r>
        <w:rPr>
          <w:szCs w:val="16"/>
          <w:lang w:val="en-GB" w:eastAsia="ko-KR"/>
        </w:rPr>
        <w:t xml:space="preserve">the </w:t>
      </w:r>
      <w:r>
        <w:rPr>
          <w:rFonts w:hint="eastAsia"/>
          <w:szCs w:val="16"/>
          <w:lang w:val="en-US" w:eastAsia="zh-CN"/>
        </w:rPr>
        <w:t xml:space="preserve">single </w:t>
      </w:r>
      <w:r>
        <w:rPr>
          <w:szCs w:val="16"/>
          <w:lang w:val="en-GB" w:eastAsia="ko-KR"/>
        </w:rPr>
        <w:t xml:space="preserve">CSI </w:t>
      </w:r>
      <w:r>
        <w:rPr>
          <w:rFonts w:hint="eastAsia"/>
          <w:szCs w:val="16"/>
          <w:lang w:val="en-US" w:eastAsia="zh-CN"/>
        </w:rPr>
        <w:t>r</w:t>
      </w:r>
      <w:r>
        <w:rPr>
          <w:szCs w:val="16"/>
          <w:lang w:val="en-GB" w:eastAsia="ko-KR"/>
        </w:rPr>
        <w:t>eport</w:t>
      </w:r>
      <w:r>
        <w:rPr>
          <w:rFonts w:hint="eastAsia"/>
          <w:szCs w:val="16"/>
          <w:lang w:val="en-US" w:eastAsia="zh-CN"/>
        </w:rPr>
        <w:t xml:space="preserve"> with sub-configuration </w:t>
      </w:r>
      <w:r>
        <w:rPr>
          <w:szCs w:val="16"/>
          <w:lang w:val="en-GB" w:eastAsia="ko-KR"/>
        </w:rPr>
        <w:t>or separate CSI reporting</w:t>
      </w:r>
      <w:r>
        <w:rPr>
          <w:rFonts w:hint="eastAsia"/>
          <w:szCs w:val="16"/>
          <w:lang w:val="en-US" w:eastAsia="zh-CN"/>
        </w:rPr>
        <w:t xml:space="preserve">; </w:t>
      </w:r>
      <w:r>
        <w:rPr>
          <w:szCs w:val="16"/>
          <w:lang w:val="en-GB" w:eastAsia="ko-KR"/>
        </w:rPr>
        <w:t>and whether</w:t>
      </w:r>
      <w:r>
        <w:rPr>
          <w:rFonts w:hint="eastAsia"/>
          <w:szCs w:val="16"/>
          <w:lang w:val="en-US" w:eastAsia="zh-CN"/>
        </w:rPr>
        <w:t xml:space="preserve"> to</w:t>
      </w:r>
      <w:r>
        <w:rPr>
          <w:szCs w:val="16"/>
          <w:lang w:val="en-GB" w:eastAsia="ko-KR"/>
        </w:rPr>
        <w:t xml:space="preserve"> associate with the same</w:t>
      </w:r>
      <w:r>
        <w:rPr>
          <w:rFonts w:hint="eastAsia"/>
          <w:szCs w:val="16"/>
          <w:lang w:val="en-US" w:eastAsia="zh-CN"/>
        </w:rPr>
        <w:t xml:space="preserve"> </w:t>
      </w:r>
      <w:r>
        <w:rPr>
          <w:szCs w:val="16"/>
          <w:lang w:val="en-GB" w:eastAsia="ko-KR"/>
        </w:rPr>
        <w:t xml:space="preserve">CSI-RS resource or separate </w:t>
      </w:r>
      <w:bookmarkStart w:id="13" w:name="OLE_LINK18"/>
      <w:r>
        <w:rPr>
          <w:szCs w:val="16"/>
          <w:lang w:val="en-GB" w:eastAsia="ko-KR"/>
        </w:rPr>
        <w:t xml:space="preserve">CSI-RS resource </w:t>
      </w:r>
      <w:bookmarkEnd w:id="13"/>
      <w:r>
        <w:rPr>
          <w:szCs w:val="16"/>
          <w:lang w:val="en-GB" w:eastAsia="ko-KR"/>
        </w:rPr>
        <w:fldChar w:fldCharType="begin"/>
      </w:r>
      <w:r>
        <w:rPr>
          <w:szCs w:val="16"/>
          <w:lang w:val="en-GB" w:eastAsia="ko-KR"/>
        </w:rPr>
        <w:instrText xml:space="preserve"> REF _Ref155772004 \r \h </w:instrText>
      </w:r>
      <w:r>
        <w:rPr>
          <w:szCs w:val="16"/>
          <w:lang w:val="en-GB" w:eastAsia="ko-KR"/>
        </w:rPr>
        <w:fldChar w:fldCharType="separate"/>
      </w:r>
      <w:r>
        <w:rPr>
          <w:szCs w:val="16"/>
          <w:lang w:val="en-GB" w:eastAsia="ko-KR"/>
        </w:rPr>
        <w:t>[</w:t>
      </w:r>
      <w:r>
        <w:rPr>
          <w:rFonts w:hint="eastAsia"/>
          <w:szCs w:val="16"/>
          <w:lang w:val="en-US" w:eastAsia="zh-CN"/>
        </w:rPr>
        <w:t>3</w:t>
      </w:r>
      <w:r>
        <w:rPr>
          <w:szCs w:val="16"/>
          <w:lang w:val="en-GB" w:eastAsia="ko-KR"/>
        </w:rPr>
        <w:t>]</w:t>
      </w:r>
      <w:r>
        <w:rPr>
          <w:szCs w:val="16"/>
          <w:lang w:val="en-GB" w:eastAsia="ko-KR"/>
        </w:rPr>
        <w:fldChar w:fldCharType="end"/>
      </w:r>
      <w:r>
        <w:rPr>
          <w:szCs w:val="16"/>
          <w:lang w:val="en-GB" w:eastAsia="ko-KR"/>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等线" w:cs="Times"/>
                <w:sz w:val="22"/>
                <w:szCs w:val="22"/>
                <w:lang w:val="en-GB" w:eastAsia="zh-CN"/>
              </w:rPr>
              <w:t>F</w:t>
            </w:r>
            <w:r>
              <w:rPr>
                <w:rFonts w:hint="eastAsia" w:ascii="Times" w:hAnsi="Times" w:eastAsia="Malgun Gothic" w:cs="Times"/>
                <w:sz w:val="22"/>
                <w:szCs w:val="22"/>
                <w:lang w:val="en-GB"/>
              </w:rPr>
              <w:t>or CSI report associated with periodic/semi-persistent CSI-RS</w:t>
            </w:r>
            <w:r>
              <w:rPr>
                <w:rFonts w:hint="eastAsia" w:ascii="Times" w:hAnsi="Times" w:eastAsia="等线" w:cs="Times"/>
                <w:sz w:val="22"/>
                <w:szCs w:val="22"/>
                <w:lang w:val="en-GB" w:eastAsia="zh-CN"/>
              </w:rPr>
              <w:t>, discuss and decide whether to support the following options.</w:t>
            </w:r>
          </w:p>
          <w:p>
            <w:pPr>
              <w:keepNext w:val="0"/>
              <w:keepLines w:val="0"/>
              <w:widowControl w:val="0"/>
              <w:numPr>
                <w:ilvl w:val="0"/>
                <w:numId w:val="12"/>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sz w:val="22"/>
                <w:szCs w:val="22"/>
                <w:lang w:val="en-GB" w:eastAsia="zh-CN"/>
              </w:rPr>
            </w:pPr>
            <w:r>
              <w:rPr>
                <w:rFonts w:hint="eastAsia" w:ascii="Times" w:hAnsi="Times" w:eastAsia="等线" w:cs="Times"/>
                <w:sz w:val="22"/>
                <w:szCs w:val="22"/>
                <w:lang w:val="en-GB" w:eastAsia="zh-CN"/>
              </w:rPr>
              <w:t xml:space="preserve">Option A: For separate CSI reports on SBFD and non-SBFD, </w:t>
            </w:r>
            <w:r>
              <w:rPr>
                <w:rFonts w:hint="eastAsia" w:ascii="Times" w:hAnsi="Times" w:eastAsia="Malgun Gothic" w:cs="Times"/>
                <w:sz w:val="22"/>
                <w:szCs w:val="22"/>
                <w:lang w:val="en-GB" w:eastAsia="zh-CN"/>
              </w:rPr>
              <w:t xml:space="preserve">one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 and the second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Malgun Gothic" w:cs="Times New Roman"/>
                <w:sz w:val="22"/>
                <w:szCs w:val="22"/>
                <w:lang w:val="en-GB" w:eastAsia="zh-CN"/>
              </w:rPr>
              <w:t>.</w:t>
            </w:r>
          </w:p>
          <w:p>
            <w:pPr>
              <w:keepNext w:val="0"/>
              <w:keepLines w:val="0"/>
              <w:widowControl w:val="0"/>
              <w:numPr>
                <w:ilvl w:val="1"/>
                <w:numId w:val="12"/>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gNB configuration may not </w:t>
            </w:r>
            <w:r>
              <w:rPr>
                <w:rFonts w:hint="eastAsia" w:ascii="Times" w:hAnsi="Times" w:eastAsia="Malgun Gothic" w:cs="Times"/>
                <w:sz w:val="22"/>
                <w:szCs w:val="22"/>
                <w:lang w:val="en-GB" w:eastAsia="zh-CN"/>
              </w:rPr>
              <w:t xml:space="preserve">ensure that the CSI-RS associated with each </w:t>
            </w:r>
            <w:r>
              <w:rPr>
                <w:rFonts w:hint="eastAsia" w:ascii="Times" w:hAnsi="Times" w:eastAsia="Malgun Gothic" w:cs="Times"/>
                <w:i/>
                <w:sz w:val="22"/>
                <w:szCs w:val="22"/>
                <w:lang w:val="en-GB" w:eastAsia="zh-CN"/>
              </w:rPr>
              <w:t>CSI-ReportConfig</w:t>
            </w:r>
            <w:r>
              <w:rPr>
                <w:rFonts w:hint="eastAsia" w:ascii="Times" w:hAnsi="Times" w:eastAsia="Malgun Gothic" w:cs="Times"/>
                <w:sz w:val="22"/>
                <w:szCs w:val="22"/>
                <w:lang w:val="en-GB" w:eastAsia="zh-CN"/>
              </w:rPr>
              <w:t xml:space="preserve"> is confined to either SBFD symbols or non-SBFD symbols only.</w:t>
            </w:r>
          </w:p>
          <w:p>
            <w:pPr>
              <w:keepNext w:val="0"/>
              <w:keepLines w:val="0"/>
              <w:widowControl w:val="0"/>
              <w:numPr>
                <w:ilvl w:val="2"/>
                <w:numId w:val="12"/>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only CSI-RS transmission occasions within SBFD symbols are used for CSI derivation</w:t>
            </w:r>
            <w:r>
              <w:rPr>
                <w:rFonts w:hint="eastAsia" w:ascii="Times" w:hAnsi="Times" w:eastAsia="等线" w:cs="Times New Roman"/>
                <w:sz w:val="22"/>
                <w:szCs w:val="22"/>
                <w:lang w:val="en-GB" w:eastAsia="zh-CN"/>
              </w:rPr>
              <w:t xml:space="preserve">. 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 xml:space="preserve">only CSI-RS transmission occasions within </w:t>
            </w:r>
            <w:r>
              <w:rPr>
                <w:rFonts w:hint="eastAsia" w:ascii="Times" w:hAnsi="Times" w:eastAsia="等线" w:cs="Times New Roman"/>
                <w:sz w:val="22"/>
                <w:szCs w:val="22"/>
                <w:lang w:val="en-GB" w:eastAsia="zh-CN"/>
              </w:rPr>
              <w:t>non-</w:t>
            </w:r>
            <w:r>
              <w:rPr>
                <w:rFonts w:hint="eastAsia" w:ascii="Times" w:hAnsi="Times" w:eastAsia="Malgun Gothic" w:cs="Times New Roman"/>
                <w:sz w:val="22"/>
                <w:szCs w:val="22"/>
                <w:lang w:val="en-GB" w:eastAsia="zh-CN"/>
              </w:rPr>
              <w:t>SBFD symbols are used for CSI derivation</w:t>
            </w:r>
            <w:r>
              <w:rPr>
                <w:rFonts w:hint="eastAsia" w:ascii="Times" w:hAnsi="Times" w:eastAsia="等线" w:cs="Times New Roman"/>
                <w:sz w:val="22"/>
                <w:szCs w:val="22"/>
                <w:lang w:val="en-GB" w:eastAsia="zh-CN"/>
              </w:rPr>
              <w:t>.</w:t>
            </w:r>
          </w:p>
          <w:p>
            <w:pPr>
              <w:keepNext w:val="0"/>
              <w:keepLines w:val="0"/>
              <w:widowControl w:val="0"/>
              <w:numPr>
                <w:ilvl w:val="0"/>
                <w:numId w:val="12"/>
              </w:numPr>
              <w:suppressLineNumbers w:val="0"/>
              <w:autoSpaceDE/>
              <w:autoSpaceDN/>
              <w:adjustRightInd/>
              <w:snapToGrid/>
              <w:spacing w:before="0" w:beforeAutospacing="0" w:after="0" w:afterAutospacing="0" w:line="240" w:lineRule="auto"/>
              <w:ind w:left="720" w:right="0" w:hanging="360"/>
              <w:jc w:val="left"/>
              <w:rPr>
                <w:rFonts w:hint="eastAsia"/>
                <w:szCs w:val="16"/>
                <w:vertAlign w:val="baseline"/>
                <w:lang w:val="en-GB" w:eastAsia="ko-KR"/>
              </w:rPr>
            </w:pPr>
            <w:r>
              <w:rPr>
                <w:rFonts w:hint="eastAsia" w:ascii="Times" w:hAnsi="Times" w:eastAsia="等线" w:cs="Times"/>
                <w:sz w:val="22"/>
                <w:szCs w:val="22"/>
                <w:lang w:val="en-GB" w:eastAsia="zh-CN"/>
              </w:rPr>
              <w:t>Option B: Enhance Rel-18 NES</w:t>
            </w:r>
            <w:r>
              <w:rPr>
                <w:rFonts w:hint="eastAsia" w:ascii="Times" w:hAnsi="Times" w:eastAsia="Batang" w:cs="Times New Roman"/>
                <w:sz w:val="22"/>
                <w:szCs w:val="22"/>
                <w:lang w:val="en-GB"/>
              </w:rPr>
              <w:t xml:space="preserve"> CSI reporting framework</w:t>
            </w:r>
            <w:r>
              <w:rPr>
                <w:rFonts w:hint="eastAsia" w:ascii="Times" w:hAnsi="Times" w:eastAsia="等线" w:cs="Times New Roman"/>
                <w:sz w:val="22"/>
                <w:szCs w:val="22"/>
                <w:lang w:val="en-GB" w:eastAsia="zh-CN"/>
              </w:rPr>
              <w:t xml:space="preserve"> to support </w:t>
            </w:r>
            <w:r>
              <w:rPr>
                <w:rFonts w:hint="eastAsia" w:ascii="Times" w:hAnsi="Times" w:eastAsia="Batang" w:cs="Times New Roman"/>
                <w:sz w:val="22"/>
                <w:szCs w:val="22"/>
                <w:lang w:val="en-GB"/>
              </w:rPr>
              <w:t xml:space="preserve">one </w:t>
            </w:r>
            <w:r>
              <w:rPr>
                <w:rFonts w:hint="eastAsia" w:ascii="Times" w:hAnsi="Times" w:eastAsia="Batang" w:cs="Times New Roman"/>
                <w:i/>
                <w:iCs/>
                <w:sz w:val="22"/>
                <w:szCs w:val="22"/>
                <w:lang w:val="en-GB"/>
              </w:rPr>
              <w:t>CSI-ReportConfig</w:t>
            </w:r>
            <w:r>
              <w:rPr>
                <w:rFonts w:hint="eastAsia" w:ascii="Times" w:hAnsi="Times" w:eastAsia="Batang" w:cs="Times New Roman"/>
                <w:sz w:val="22"/>
                <w:szCs w:val="22"/>
                <w:lang w:val="en-GB"/>
              </w:rPr>
              <w:t xml:space="preserve"> </w:t>
            </w:r>
            <w:r>
              <w:rPr>
                <w:rFonts w:hint="eastAsia" w:ascii="Times" w:hAnsi="Times" w:eastAsia="等线" w:cs="Times New Roman"/>
                <w:sz w:val="22"/>
                <w:szCs w:val="22"/>
                <w:lang w:val="en-GB" w:eastAsia="zh-CN"/>
              </w:rPr>
              <w:t xml:space="preserve">with one sub-configuration </w:t>
            </w:r>
            <w:r>
              <w:rPr>
                <w:rFonts w:hint="eastAsia" w:ascii="Times" w:hAnsi="Times" w:eastAsia="Batang" w:cs="Times New Roman"/>
                <w:sz w:val="22"/>
                <w:szCs w:val="22"/>
                <w:lang w:val="en-GB"/>
              </w:rPr>
              <w:t>associated with SBFD symbols and</w:t>
            </w:r>
            <w:r>
              <w:rPr>
                <w:rFonts w:hint="eastAsia" w:ascii="Times" w:hAnsi="Times" w:eastAsia="等线" w:cs="Times New Roman"/>
                <w:sz w:val="22"/>
                <w:szCs w:val="22"/>
                <w:lang w:val="en-GB" w:eastAsia="zh-CN"/>
              </w:rPr>
              <w:t xml:space="preserve"> the other sub-configuration associated with</w:t>
            </w:r>
            <w:r>
              <w:rPr>
                <w:rFonts w:hint="eastAsia" w:ascii="Times" w:hAnsi="Times" w:eastAsia="Batang" w:cs="Times New Roman"/>
                <w:sz w:val="22"/>
                <w:szCs w:val="22"/>
                <w:lang w:val="en-GB"/>
              </w:rPr>
              <w:t xml:space="preserve"> non-SBFD symbols</w:t>
            </w:r>
          </w:p>
        </w:tc>
      </w:tr>
    </w:tbl>
    <w:p>
      <w:pPr>
        <w:rPr>
          <w:szCs w:val="16"/>
          <w:lang w:val="en-GB" w:eastAsia="ko-KR"/>
        </w:rPr>
      </w:pPr>
    </w:p>
    <w:p>
      <w:pPr>
        <w:jc w:val="both"/>
        <w:rPr>
          <w:bCs/>
          <w:iCs/>
          <w:szCs w:val="16"/>
          <w:lang w:val="en-GB" w:eastAsia="ko-KR"/>
        </w:rPr>
      </w:pPr>
      <w:bookmarkStart w:id="14" w:name="OLE_LINK23"/>
      <w:r>
        <w:rPr>
          <w:rFonts w:hint="eastAsia"/>
          <w:lang w:val="en-US" w:eastAsia="zh-CN"/>
        </w:rPr>
        <w:t xml:space="preserve">On the one hand, the transmit antenna configurations of the gNB in SBFD symbols and non-SBFD symbols may be different. On the other hand, the interference suffered by the UE reception may be different in SBFD symbols and non-SBFD symbols. </w:t>
      </w:r>
      <w:bookmarkEnd w:id="14"/>
      <w:r>
        <w:rPr>
          <w:rFonts w:hint="eastAsia"/>
          <w:lang w:val="en-US" w:eastAsia="zh-CN"/>
        </w:rPr>
        <w:t>Thus, in some implementation, the gNB may use a different number of CSI-RS antenna ports, or, a different transmit power, or, a different beam per port. In that case, the same CSI-RS resource cannot be used between SBFD symbols and non-SBFD symbols. In addition, the gNB antenna configuration also affects whether the single CSI reports can be used for SBFD and non-SBFD symbols. For example, if the gNB uses different antenna configurations for SBFD symbols and non-SBFD symbols, the same CSI report configuration cannot be used because the codebook configuration for CSI reports, the associated panel configurations (N1, N2, Ng), and the CSI report frequency configurations may not be the same in SBFD and non-SBFD symbols. To address the issue, the most straightforward way is to support seperate CSI reports associated with seperate CSI-RS resource on both SBFD symbols and non-SBFD symbols.</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bookmarkStart w:id="15" w:name="OLE_LINK20"/>
      <w:r>
        <w:rPr>
          <w:rFonts w:hint="eastAsia"/>
          <w:b/>
          <w:bCs w:val="0"/>
          <w:i/>
          <w:iCs w:val="0"/>
          <w:szCs w:val="20"/>
          <w:lang w:val="en-GB" w:eastAsia="zh-CN"/>
        </w:rPr>
        <w:t xml:space="preserve">Proposal </w:t>
      </w:r>
      <w:r>
        <w:rPr>
          <w:rFonts w:hint="eastAsia"/>
          <w:b/>
          <w:bCs w:val="0"/>
          <w:i/>
          <w:iCs w:val="0"/>
          <w:szCs w:val="20"/>
          <w:lang w:val="en-US" w:eastAsia="zh-CN"/>
        </w:rPr>
        <w:t xml:space="preserve">8: </w:t>
      </w:r>
      <w:r>
        <w:rPr>
          <w:rFonts w:hint="eastAsia"/>
          <w:b/>
          <w:bCs/>
          <w:i/>
          <w:iCs/>
          <w:lang w:val="en-US" w:eastAsia="zh-CN"/>
        </w:rPr>
        <w:t>Support seperate CSI reports associated with seperate CSI-RS resource on both SBFD symbols and non-SBFD symbols.</w:t>
      </w:r>
    </w:p>
    <w:bookmarkEnd w:id="15"/>
    <w:p>
      <w:pPr>
        <w:rPr>
          <w:lang w:eastAsia="ko-KR"/>
        </w:rPr>
      </w:pPr>
    </w:p>
    <w:p>
      <w:pPr>
        <w:pStyle w:val="2"/>
      </w:pPr>
      <w:r>
        <w:t>Conclusion</w:t>
      </w:r>
    </w:p>
    <w:p>
      <w:pPr>
        <w:rPr>
          <w:rFonts w:hint="eastAsia"/>
          <w:lang w:val="en-US" w:eastAsia="zh-CN"/>
        </w:rPr>
      </w:pPr>
      <w:bookmarkStart w:id="16" w:name="OLE_LINK6"/>
      <w:bookmarkStart w:id="17" w:name="OLE_LINK40"/>
      <w:bookmarkStart w:id="18" w:name="OLE_LINK39"/>
      <w:bookmarkStart w:id="19" w:name="OLE_LINK3"/>
      <w:bookmarkStart w:id="20" w:name="OLE_LINK4"/>
      <w:bookmarkStart w:id="21" w:name="OLE_LINK5"/>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1：Time domain and frequency domain subband configuration for the SBFD UE should be performed at the cell level with cell-specific RRC signaling.</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spacing w:before="0" w:beforeLines="0" w:after="120" w:line="240" w:lineRule="auto"/>
        <w:rPr>
          <w:b/>
          <w:bCs/>
          <w:i/>
          <w:iCs w:val="0"/>
        </w:rPr>
      </w:pPr>
      <w:r>
        <w:rPr>
          <w:rFonts w:cs="Times New Roman"/>
          <w:b/>
          <w:i/>
        </w:rPr>
        <w:t xml:space="preserve">Proposal </w:t>
      </w:r>
      <w:r>
        <w:rPr>
          <w:rFonts w:hint="eastAsia" w:cs="Times New Roman"/>
          <w:b/>
          <w:i/>
          <w:lang w:val="en-US" w:eastAsia="zh-CN"/>
        </w:rPr>
        <w:t>3</w:t>
      </w:r>
      <w:r>
        <w:rPr>
          <w:rFonts w:cs="Times New Roman"/>
          <w:b/>
          <w:i/>
        </w:rPr>
        <w:t xml:space="preserve">: </w:t>
      </w:r>
      <w:r>
        <w:rPr>
          <w:rFonts w:cs="Times New Roman"/>
          <w:b/>
          <w:bCs/>
          <w:i/>
          <w:iCs w:val="0"/>
        </w:rPr>
        <w:t>For</w:t>
      </w:r>
      <w:r>
        <w:rPr>
          <w:b/>
          <w:bCs/>
          <w:i/>
          <w:iCs w:val="0"/>
        </w:rPr>
        <w:t xml:space="preserve"> PDSCH, if PRG is determined </w:t>
      </w:r>
      <w:r>
        <w:rPr>
          <w:rFonts w:hint="eastAsia"/>
          <w:b/>
          <w:bCs/>
          <w:i/>
          <w:iCs w:val="0"/>
          <w:lang w:val="en-US" w:eastAsia="zh-CN"/>
        </w:rPr>
        <w:t>to be</w:t>
      </w:r>
      <w:r>
        <w:rPr>
          <w:b/>
          <w:bCs/>
          <w:i/>
          <w:iCs w:val="0"/>
        </w:rPr>
        <w:t xml:space="preserve"> wideband, </w:t>
      </w:r>
      <w:r>
        <w:rPr>
          <w:rFonts w:hint="eastAsia"/>
          <w:b/>
          <w:bCs/>
          <w:i/>
          <w:iCs w:val="0"/>
          <w:lang w:val="en-US" w:eastAsia="zh-CN"/>
        </w:rPr>
        <w:t>Option 1</w:t>
      </w:r>
      <w:r>
        <w:rPr>
          <w:b/>
          <w:bCs/>
          <w:i/>
          <w:iCs w:val="0"/>
        </w:rPr>
        <w:t xml:space="preserve"> </w:t>
      </w:r>
      <w:r>
        <w:rPr>
          <w:rFonts w:hint="eastAsia"/>
          <w:b/>
          <w:bCs/>
          <w:i/>
          <w:iCs w:val="0"/>
          <w:lang w:val="en-US" w:eastAsia="zh-CN"/>
        </w:rPr>
        <w:t>should be</w:t>
      </w:r>
      <w:r>
        <w:rPr>
          <w:b/>
          <w:bCs/>
          <w:i/>
          <w:iCs w:val="0"/>
        </w:rPr>
        <w:t xml:space="preserve"> supported</w:t>
      </w:r>
    </w:p>
    <w:p>
      <w:pPr>
        <w:pStyle w:val="55"/>
        <w:numPr>
          <w:ilvl w:val="0"/>
          <w:numId w:val="13"/>
        </w:numPr>
        <w:spacing w:before="0" w:beforeLines="0" w:after="120" w:line="240" w:lineRule="auto"/>
        <w:ind w:firstLineChars="0"/>
        <w:rPr>
          <w:b/>
          <w:bCs/>
          <w:i/>
          <w:iCs w:val="0"/>
        </w:rPr>
      </w:pPr>
      <w:r>
        <w:rPr>
          <w:b/>
          <w:bCs/>
          <w:i/>
          <w:iCs w:val="0"/>
        </w:rPr>
        <w:t>Option 1: non-contiguous frequency resources across two DL subbands but contiguous frequency resource within each DL subband can be allocated.</w:t>
      </w:r>
    </w:p>
    <w:p>
      <w:pPr>
        <w:rPr>
          <w:rFonts w:hint="eastAsia"/>
          <w:b/>
          <w:i/>
          <w:lang w:val="en-US" w:eastAsia="zh-CN"/>
        </w:rPr>
      </w:pPr>
      <w:r>
        <w:rPr>
          <w:rFonts w:hint="eastAsia" w:cs="Times New Roman"/>
          <w:b/>
          <w:i/>
          <w:lang w:eastAsia="zh-CN"/>
        </w:rPr>
        <w:t xml:space="preserve">Proposal </w:t>
      </w:r>
      <w:r>
        <w:rPr>
          <w:rFonts w:hint="eastAsia" w:cs="Times New Roman"/>
          <w:b/>
          <w:i/>
          <w:lang w:val="en-US" w:eastAsia="zh-CN"/>
        </w:rPr>
        <w:t>4</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p>
    <w:p>
      <w:pPr>
        <w:rPr>
          <w:rFonts w:hint="default"/>
          <w:b/>
          <w:i/>
          <w:iCs w:val="0"/>
          <w:strike w:val="0"/>
          <w:dstrike w:val="0"/>
          <w:szCs w:val="20"/>
          <w:lang w:val="en-US" w:eastAsia="zh-CN"/>
        </w:rPr>
      </w:pPr>
      <w:r>
        <w:rPr>
          <w:rFonts w:hint="eastAsia"/>
          <w:b/>
          <w:i/>
          <w:lang w:val="en-US" w:eastAsia="zh-CN"/>
        </w:rPr>
        <w:t>Proposal</w:t>
      </w:r>
      <w:r>
        <w:rPr>
          <w:b/>
          <w:i/>
        </w:rPr>
        <w:t xml:space="preserve"> </w:t>
      </w:r>
      <w:r>
        <w:rPr>
          <w:rFonts w:hint="eastAsia"/>
          <w:b/>
          <w:i/>
          <w:lang w:val="en-US" w:eastAsia="zh-CN"/>
        </w:rPr>
        <w:t>5</w:t>
      </w:r>
      <w:r>
        <w:rPr>
          <w:i/>
        </w:rPr>
        <w:t xml:space="preserve">: </w:t>
      </w:r>
      <w:r>
        <w:rPr>
          <w:rFonts w:hint="eastAsia"/>
          <w:b/>
          <w:bCs/>
          <w:i/>
          <w:lang w:val="en-US" w:eastAsia="zh-CN"/>
        </w:rPr>
        <w:t>S</w:t>
      </w:r>
      <w:r>
        <w:rPr>
          <w:rFonts w:hint="eastAsia"/>
          <w:b/>
          <w:bCs/>
          <w:i/>
        </w:rPr>
        <w:t>eparate sets of SRS resources associated with SBFD slots and non-SBFD slots can be configured to enable two SRS transmissions on SBFD slots only and non-SBFD slots only</w:t>
      </w:r>
      <w:r>
        <w:rPr>
          <w:b/>
          <w:bCs/>
          <w:i/>
        </w:rPr>
        <w:t>.</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6</w:t>
      </w:r>
      <w:r>
        <w:rPr>
          <w:i/>
        </w:rPr>
        <w:t xml:space="preserve">: </w:t>
      </w:r>
      <w:r>
        <w:rPr>
          <w:rFonts w:hint="eastAsia"/>
          <w:b/>
          <w:bCs/>
          <w:i/>
          <w:lang w:val="en-US" w:eastAsia="zh-CN"/>
        </w:rPr>
        <w:t>S</w:t>
      </w:r>
      <w:r>
        <w:rPr>
          <w:rFonts w:hint="eastAsia"/>
          <w:b/>
          <w:bCs/>
          <w:i/>
        </w:rPr>
        <w:t xml:space="preserve">eparate sets of </w:t>
      </w:r>
      <w:r>
        <w:rPr>
          <w:rFonts w:hint="eastAsia"/>
          <w:b/>
          <w:bCs/>
          <w:i/>
          <w:lang w:val="en-US" w:eastAsia="zh-CN"/>
        </w:rPr>
        <w:t>PUCCH</w:t>
      </w:r>
      <w:r>
        <w:rPr>
          <w:rFonts w:hint="eastAsia"/>
          <w:b/>
          <w:bCs/>
          <w:i/>
        </w:rPr>
        <w:t xml:space="preserve"> resources associated with SBFD slots and non-SBFD slots can be configured to enable two </w:t>
      </w:r>
      <w:r>
        <w:rPr>
          <w:rFonts w:hint="eastAsia"/>
          <w:b/>
          <w:bCs/>
          <w:i/>
          <w:lang w:val="en-US" w:eastAsia="zh-CN"/>
        </w:rPr>
        <w:t>PUCCH</w:t>
      </w:r>
      <w:r>
        <w:rPr>
          <w:rFonts w:hint="eastAsia"/>
          <w:b/>
          <w:bCs/>
          <w:i/>
        </w:rPr>
        <w:t xml:space="preserve"> transmissions on SBFD slots only and non-SBFD slots only</w:t>
      </w:r>
      <w:r>
        <w:rPr>
          <w:b/>
          <w:bCs/>
          <w:i/>
        </w:rPr>
        <w:t>.</w:t>
      </w:r>
    </w:p>
    <w:p>
      <w:pPr>
        <w:spacing w:before="0" w:beforeLines="0" w:after="120" w:line="240" w:lineRule="auto"/>
        <w:rPr>
          <w:rFonts w:hint="default"/>
          <w:b/>
          <w:i/>
          <w:lang w:val="en-US" w:eastAsia="zh-CN"/>
        </w:rPr>
      </w:pPr>
      <w:r>
        <w:rPr>
          <w:rFonts w:hint="default"/>
          <w:b/>
          <w:i/>
          <w:lang w:val="en-US" w:eastAsia="zh-CN"/>
        </w:rPr>
        <w:t xml:space="preserve">Proposal </w:t>
      </w:r>
      <w:r>
        <w:rPr>
          <w:rFonts w:hint="eastAsia"/>
          <w:b/>
          <w:i/>
          <w:lang w:val="en-US" w:eastAsia="zh-CN"/>
        </w:rPr>
        <w:t>7</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6"/>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6"/>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r>
        <w:rPr>
          <w:rFonts w:hint="eastAsia"/>
          <w:b/>
          <w:bCs w:val="0"/>
          <w:i/>
          <w:iCs w:val="0"/>
          <w:szCs w:val="20"/>
          <w:lang w:val="en-GB" w:eastAsia="zh-CN"/>
        </w:rPr>
        <w:t xml:space="preserve">Proposal </w:t>
      </w:r>
      <w:r>
        <w:rPr>
          <w:rFonts w:hint="eastAsia"/>
          <w:b/>
          <w:bCs w:val="0"/>
          <w:i/>
          <w:iCs w:val="0"/>
          <w:szCs w:val="20"/>
          <w:lang w:val="en-US" w:eastAsia="zh-CN"/>
        </w:rPr>
        <w:t xml:space="preserve">8: </w:t>
      </w:r>
      <w:r>
        <w:rPr>
          <w:rFonts w:hint="eastAsia"/>
          <w:b/>
          <w:bCs/>
          <w:i/>
          <w:iCs/>
          <w:lang w:val="en-US" w:eastAsia="zh-CN"/>
        </w:rPr>
        <w:t>Support seperate CSI reports associated with seperate CSI-RS resource on both SBFD symbols and non-SBFD symbols.</w:t>
      </w:r>
    </w:p>
    <w:p>
      <w:pPr>
        <w:rPr>
          <w:rFonts w:hint="eastAsia"/>
          <w:b/>
          <w:bCs w:val="0"/>
          <w:i/>
          <w:iCs w:val="0"/>
          <w:szCs w:val="20"/>
          <w:lang w:val="en-US" w:eastAsia="zh-CN"/>
        </w:rPr>
      </w:pPr>
    </w:p>
    <w:p>
      <w:pPr>
        <w:rPr>
          <w:rFonts w:hint="eastAsia"/>
          <w:b/>
          <w:bCs w:val="0"/>
          <w:i/>
          <w:iCs w:val="0"/>
          <w:szCs w:val="20"/>
          <w:lang w:val="en-US" w:eastAsia="zh-CN"/>
        </w:rPr>
      </w:pPr>
    </w:p>
    <w:bookmarkEnd w:id="16"/>
    <w:bookmarkEnd w:id="17"/>
    <w:bookmarkEnd w:id="18"/>
    <w:bookmarkEnd w:id="19"/>
    <w:bookmarkEnd w:id="20"/>
    <w:bookmarkEnd w:id="21"/>
    <w:p>
      <w:pPr>
        <w:pStyle w:val="2"/>
      </w:pPr>
      <w:r>
        <w:t>Reference</w:t>
      </w:r>
    </w:p>
    <w:bookmarkEnd w:id="3"/>
    <w:p>
      <w:pPr>
        <w:pStyle w:val="55"/>
        <w:numPr>
          <w:ilvl w:val="0"/>
          <w:numId w:val="17"/>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7"/>
        </w:numPr>
        <w:ind w:firstLineChars="0"/>
        <w:jc w:val="left"/>
        <w:rPr>
          <w:lang w:eastAsia="zh-CN"/>
        </w:rPr>
      </w:pPr>
      <w:r>
        <w:rPr>
          <w:rFonts w:hint="eastAsia"/>
          <w:lang w:val="en-US" w:eastAsia="zh-CN"/>
        </w:rPr>
        <w:t>Draft_Minutes_report_RAN1#116_v020, 2024-03</w:t>
      </w:r>
    </w:p>
    <w:p>
      <w:pPr>
        <w:pStyle w:val="55"/>
        <w:numPr>
          <w:ilvl w:val="0"/>
          <w:numId w:val="17"/>
        </w:numPr>
        <w:ind w:firstLineChars="0"/>
        <w:jc w:val="left"/>
        <w:rPr>
          <w:lang w:eastAsia="zh-CN"/>
        </w:rPr>
      </w:pPr>
      <w:r>
        <w:rPr>
          <w:rFonts w:hint="eastAsia"/>
          <w:lang w:val="en-US" w:eastAsia="zh-CN"/>
        </w:rPr>
        <w:t>Draft_Minutes_report_RAN1#117_v020, 2024-05</w:t>
      </w:r>
    </w:p>
    <w:p>
      <w:pPr>
        <w:pStyle w:val="55"/>
        <w:numPr>
          <w:ilvl w:val="0"/>
          <w:numId w:val="17"/>
        </w:numPr>
        <w:ind w:firstLineChars="0"/>
        <w:jc w:val="left"/>
        <w:rPr>
          <w:lang w:eastAsia="zh-CN"/>
        </w:rPr>
      </w:pPr>
      <w:r>
        <w:rPr>
          <w:rFonts w:hint="eastAsia"/>
          <w:lang w:val="en-US" w:eastAsia="zh-CN"/>
        </w:rPr>
        <w:t>R1-2401654</w:t>
      </w:r>
      <w:r>
        <w:rPr>
          <w:rFonts w:hint="eastAsia"/>
          <w:lang w:val="en-US" w:eastAsia="zh-CN"/>
        </w:rPr>
        <w:tab/>
      </w:r>
      <w:r>
        <w:rPr>
          <w:rFonts w:hint="eastAsia"/>
          <w:lang w:val="en-US" w:eastAsia="zh-CN"/>
        </w:rPr>
        <w:t xml:space="preserve">Summary #3 of </w:t>
      </w:r>
      <w:r>
        <w:rPr>
          <w:rFonts w:hint="eastAsia"/>
          <w:lang w:val="en-US" w:eastAsia="zh-CN"/>
        </w:rPr>
        <w:tab/>
      </w:r>
      <w:r>
        <w:rPr>
          <w:rFonts w:hint="eastAsia"/>
          <w:lang w:val="en-US" w:eastAsia="zh-CN"/>
        </w:rPr>
        <w:t>SBFD TX/RX/measurement procedures, CATT, 2024-03</w:t>
      </w:r>
    </w:p>
    <w:p>
      <w:pPr>
        <w:pStyle w:val="55"/>
        <w:numPr>
          <w:ilvl w:val="0"/>
          <w:numId w:val="17"/>
        </w:numPr>
        <w:ind w:firstLineChars="0"/>
        <w:jc w:val="left"/>
        <w:rPr>
          <w:lang w:eastAsia="zh-CN"/>
        </w:rPr>
      </w:pPr>
      <w:bookmarkStart w:id="22" w:name="OLE_LINK22"/>
      <w:r>
        <w:rPr>
          <w:rFonts w:hint="eastAsia"/>
          <w:lang w:val="en-US" w:eastAsia="zh-CN"/>
        </w:rPr>
        <w:t>Draft_Minutes_report_RAN1#116bis_v020, 2024-04</w:t>
      </w:r>
      <w:bookmarkEnd w:id="22"/>
      <w:bookmarkStart w:id="23" w:name="_GoBack"/>
      <w:bookmarkEnd w:id="23"/>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CFAB04"/>
    <w:multiLevelType w:val="multilevel"/>
    <w:tmpl w:val="ADCFA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492D405"/>
    <w:multiLevelType w:val="singleLevel"/>
    <w:tmpl w:val="E492D405"/>
    <w:lvl w:ilvl="0" w:tentative="0">
      <w:start w:val="1"/>
      <w:numFmt w:val="bullet"/>
      <w:lvlText w:val=""/>
      <w:lvlJc w:val="left"/>
      <w:pPr>
        <w:ind w:left="420" w:hanging="420"/>
      </w:pPr>
      <w:rPr>
        <w:rFonts w:hint="default" w:ascii="Wingdings" w:hAnsi="Wingdings"/>
      </w:rPr>
    </w:lvl>
  </w:abstractNum>
  <w:abstractNum w:abstractNumId="2">
    <w:nsid w:val="02BF796D"/>
    <w:multiLevelType w:val="multilevel"/>
    <w:tmpl w:val="02BF79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6377B66"/>
    <w:multiLevelType w:val="multilevel"/>
    <w:tmpl w:val="16377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A96221"/>
    <w:multiLevelType w:val="multilevel"/>
    <w:tmpl w:val="22A96221"/>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70065AA"/>
    <w:multiLevelType w:val="multilevel"/>
    <w:tmpl w:val="270065A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2EC12BD"/>
    <w:multiLevelType w:val="multilevel"/>
    <w:tmpl w:val="72EC12BD"/>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3"/>
  </w:num>
  <w:num w:numId="3">
    <w:abstractNumId w:val="10"/>
  </w:num>
  <w:num w:numId="4">
    <w:abstractNumId w:val="14"/>
  </w:num>
  <w:num w:numId="5">
    <w:abstractNumId w:val="15"/>
  </w:num>
  <w:num w:numId="6">
    <w:abstractNumId w:val="11"/>
  </w:num>
  <w:num w:numId="7">
    <w:abstractNumId w:val="16"/>
  </w:num>
  <w:num w:numId="8">
    <w:abstractNumId w:val="4"/>
  </w:num>
  <w:num w:numId="9">
    <w:abstractNumId w:val="3"/>
  </w:num>
  <w:num w:numId="10">
    <w:abstractNumId w:val="2"/>
  </w:num>
  <w:num w:numId="11">
    <w:abstractNumId w:val="12"/>
  </w:num>
  <w:num w:numId="12">
    <w:abstractNumId w:val="9"/>
  </w:num>
  <w:num w:numId="13">
    <w:abstractNumId w:val="8"/>
  </w:num>
  <w:num w:numId="14">
    <w:abstractNumId w:val="5"/>
  </w:num>
  <w:num w:numId="15">
    <w:abstractNumId w:val="0"/>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04238"/>
    <w:rsid w:val="0556552C"/>
    <w:rsid w:val="0597308E"/>
    <w:rsid w:val="05F32C94"/>
    <w:rsid w:val="0698494C"/>
    <w:rsid w:val="0954276A"/>
    <w:rsid w:val="0A117D20"/>
    <w:rsid w:val="0AE04D11"/>
    <w:rsid w:val="0B602FBE"/>
    <w:rsid w:val="0C4B0E93"/>
    <w:rsid w:val="0E1A61D8"/>
    <w:rsid w:val="0E225C58"/>
    <w:rsid w:val="0E6911DF"/>
    <w:rsid w:val="0EC4383D"/>
    <w:rsid w:val="0F0F0BED"/>
    <w:rsid w:val="0FF52C16"/>
    <w:rsid w:val="10A80B60"/>
    <w:rsid w:val="10AA4AD6"/>
    <w:rsid w:val="119F406C"/>
    <w:rsid w:val="139E1370"/>
    <w:rsid w:val="14283870"/>
    <w:rsid w:val="16881E22"/>
    <w:rsid w:val="16896A50"/>
    <w:rsid w:val="192E0655"/>
    <w:rsid w:val="197E1E30"/>
    <w:rsid w:val="19955F69"/>
    <w:rsid w:val="1ADF4FC4"/>
    <w:rsid w:val="1B6D049A"/>
    <w:rsid w:val="1D233F3F"/>
    <w:rsid w:val="1D537CF1"/>
    <w:rsid w:val="1D885B45"/>
    <w:rsid w:val="1E00487E"/>
    <w:rsid w:val="1E3F33CA"/>
    <w:rsid w:val="1E672E73"/>
    <w:rsid w:val="1F4B31FF"/>
    <w:rsid w:val="1FE60956"/>
    <w:rsid w:val="220C2222"/>
    <w:rsid w:val="23602280"/>
    <w:rsid w:val="24164F9F"/>
    <w:rsid w:val="283369D9"/>
    <w:rsid w:val="298441EF"/>
    <w:rsid w:val="2B560BA8"/>
    <w:rsid w:val="2B7E5FB4"/>
    <w:rsid w:val="2C84203A"/>
    <w:rsid w:val="2C876C12"/>
    <w:rsid w:val="2D346D5E"/>
    <w:rsid w:val="2D6E7958"/>
    <w:rsid w:val="2DC83C66"/>
    <w:rsid w:val="2E3E13E7"/>
    <w:rsid w:val="2E7349E0"/>
    <w:rsid w:val="2F1F2E87"/>
    <w:rsid w:val="2F29409D"/>
    <w:rsid w:val="2FAA31B3"/>
    <w:rsid w:val="31C52518"/>
    <w:rsid w:val="31DE45D1"/>
    <w:rsid w:val="34382BF7"/>
    <w:rsid w:val="34F02636"/>
    <w:rsid w:val="353A3225"/>
    <w:rsid w:val="35A345E4"/>
    <w:rsid w:val="36C571C3"/>
    <w:rsid w:val="37DC2534"/>
    <w:rsid w:val="385910DC"/>
    <w:rsid w:val="397F673D"/>
    <w:rsid w:val="3A0A1771"/>
    <w:rsid w:val="3CF87929"/>
    <w:rsid w:val="3D1A31D5"/>
    <w:rsid w:val="402368B0"/>
    <w:rsid w:val="40E64C03"/>
    <w:rsid w:val="43B92A18"/>
    <w:rsid w:val="45ED6C35"/>
    <w:rsid w:val="47004D5B"/>
    <w:rsid w:val="47A46C49"/>
    <w:rsid w:val="48792000"/>
    <w:rsid w:val="48B03A9C"/>
    <w:rsid w:val="48C33C84"/>
    <w:rsid w:val="4A0F5398"/>
    <w:rsid w:val="4A247D73"/>
    <w:rsid w:val="4A5563BA"/>
    <w:rsid w:val="4D7904D5"/>
    <w:rsid w:val="4EE31812"/>
    <w:rsid w:val="511B2E45"/>
    <w:rsid w:val="51A6413F"/>
    <w:rsid w:val="542B1F5A"/>
    <w:rsid w:val="557D7CF0"/>
    <w:rsid w:val="568D08AA"/>
    <w:rsid w:val="57832449"/>
    <w:rsid w:val="57896873"/>
    <w:rsid w:val="58A36C07"/>
    <w:rsid w:val="5A236FFA"/>
    <w:rsid w:val="5A65568B"/>
    <w:rsid w:val="5AD73495"/>
    <w:rsid w:val="5B8C599C"/>
    <w:rsid w:val="5FE404A4"/>
    <w:rsid w:val="61F1064B"/>
    <w:rsid w:val="620A281A"/>
    <w:rsid w:val="62E36ECA"/>
    <w:rsid w:val="643111CD"/>
    <w:rsid w:val="68122C5B"/>
    <w:rsid w:val="68E32000"/>
    <w:rsid w:val="68E450C8"/>
    <w:rsid w:val="69065363"/>
    <w:rsid w:val="69783C46"/>
    <w:rsid w:val="6AC8766D"/>
    <w:rsid w:val="6B6A27A4"/>
    <w:rsid w:val="6DDF0931"/>
    <w:rsid w:val="6DFF249A"/>
    <w:rsid w:val="6E4F0843"/>
    <w:rsid w:val="70297825"/>
    <w:rsid w:val="70A23833"/>
    <w:rsid w:val="70DC11F3"/>
    <w:rsid w:val="71881DE0"/>
    <w:rsid w:val="71F37DF8"/>
    <w:rsid w:val="72E826E6"/>
    <w:rsid w:val="7338000B"/>
    <w:rsid w:val="735A0ADC"/>
    <w:rsid w:val="745E0D6E"/>
    <w:rsid w:val="75F13A79"/>
    <w:rsid w:val="78BC64EE"/>
    <w:rsid w:val="78F66947"/>
    <w:rsid w:val="7ADD3110"/>
    <w:rsid w:val="7B6244CD"/>
    <w:rsid w:val="7CD65923"/>
    <w:rsid w:val="7DBF7E6A"/>
    <w:rsid w:val="7DED11B2"/>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5"/>
    <w:next w:val="1"/>
    <w:qFormat/>
    <w:uiPriority w:val="0"/>
    <w:pPr>
      <w:numPr>
        <w:ilvl w:val="4"/>
        <w:numId w:val="1"/>
      </w:numPr>
      <w:spacing w:before="240" w:after="60"/>
      <w:outlineLvl w:val="4"/>
    </w:pPr>
    <w:rPr>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03"/>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main text"/>
    <w:basedOn w:val="1"/>
    <w:qFormat/>
    <w:uiPriority w:val="0"/>
    <w:pPr>
      <w:overflowPunct/>
      <w:autoSpaceDE/>
      <w:autoSpaceDN/>
      <w:adjustRightInd/>
      <w:spacing w:before="60" w:after="60" w:line="288" w:lineRule="auto"/>
      <w:ind w:firstLine="200" w:firstLineChars="200"/>
      <w:textAlignment w:val="auto"/>
    </w:pPr>
    <w:rPr>
      <w:rFonts w:cs="바탕"/>
      <w:sz w:val="20"/>
      <w:lang w:eastAsia="ko-KR"/>
    </w:rPr>
  </w:style>
  <w:style w:type="paragraph" w:customStyle="1" w:styleId="104">
    <w:name w:val="3GPP Normal Text"/>
    <w:basedOn w:val="16"/>
    <w:qFormat/>
    <w:uiPriority w:val="0"/>
    <w:rPr>
      <w:rFonts w:ascii="Times New Roman" w:hAnsi="Times New Roman" w:eastAsia="MS Mincho"/>
      <w:sz w:val="22"/>
      <w:lang w:val="zh-CN"/>
    </w:rPr>
  </w:style>
  <w:style w:type="paragraph" w:customStyle="1" w:styleId="105">
    <w:name w:val="Proposal"/>
    <w:basedOn w:val="6"/>
    <w:next w:val="102"/>
    <w:qFormat/>
    <w:uiPriority w:val="0"/>
    <w:pPr>
      <w:tabs>
        <w:tab w:val="left" w:pos="1701"/>
      </w:tabs>
      <w:snapToGrid w:val="0"/>
      <w:spacing w:after="120"/>
    </w:pPr>
    <w:rPr>
      <w:rFonts w:eastAsia="바탕"/>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4</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2024-08-09T01:53:58Z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